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9F0" w:rsidRPr="00B309F0" w:rsidRDefault="00B309F0" w:rsidP="00B309F0">
      <w:pPr>
        <w:ind w:left="7938" w:firstLine="567"/>
        <w:rPr>
          <w:rFonts w:eastAsia="Times New Roman"/>
          <w:szCs w:val="20"/>
          <w:lang w:eastAsia="sk-SK"/>
        </w:rPr>
      </w:pPr>
    </w:p>
    <w:tbl>
      <w:tblPr>
        <w:tblW w:w="94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90"/>
        <w:gridCol w:w="4536"/>
      </w:tblGrid>
      <w:tr w:rsidR="00B309F0" w:rsidRPr="00B309F0" w:rsidTr="001D38DA">
        <w:trPr>
          <w:cantSplit/>
          <w:trHeight w:val="600"/>
        </w:trPr>
        <w:tc>
          <w:tcPr>
            <w:tcW w:w="4890" w:type="dxa"/>
            <w:vMerge w:val="restart"/>
            <w:tcBorders>
              <w:top w:val="single" w:sz="12" w:space="0" w:color="auto"/>
              <w:right w:val="single" w:sz="12" w:space="0" w:color="auto"/>
            </w:tcBorders>
          </w:tcPr>
          <w:p w:rsidR="00B309F0" w:rsidRPr="00B309F0" w:rsidRDefault="00B309F0" w:rsidP="00B309F0">
            <w:pPr>
              <w:widowControl w:val="0"/>
              <w:overflowPunct w:val="0"/>
              <w:autoSpaceDE w:val="0"/>
              <w:autoSpaceDN w:val="0"/>
              <w:adjustRightInd w:val="0"/>
              <w:textAlignment w:val="baseline"/>
              <w:rPr>
                <w:rFonts w:eastAsia="Times New Roman"/>
                <w:b/>
                <w:lang w:eastAsia="sk-SK"/>
              </w:rPr>
            </w:pPr>
            <w:r w:rsidRPr="00B309F0">
              <w:rPr>
                <w:rFonts w:ascii="Times New Roman" w:eastAsia="Times New Roman" w:hAnsi="Times New Roman" w:cs="Times New Roman"/>
                <w:noProof/>
                <w:sz w:val="20"/>
                <w:szCs w:val="20"/>
                <w:lang w:eastAsia="sk-SK"/>
              </w:rPr>
              <w:drawing>
                <wp:inline distT="0" distB="0" distL="0" distR="0" wp14:anchorId="41E0657B" wp14:editId="58A1E777">
                  <wp:extent cx="2541181" cy="701640"/>
                  <wp:effectExtent l="0" t="0" r="0" b="381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1308" cy="701675"/>
                          </a:xfrm>
                          <a:prstGeom prst="rect">
                            <a:avLst/>
                          </a:prstGeom>
                          <a:noFill/>
                          <a:ln>
                            <a:noFill/>
                          </a:ln>
                        </pic:spPr>
                      </pic:pic>
                    </a:graphicData>
                  </a:graphic>
                </wp:inline>
              </w:drawing>
            </w:r>
          </w:p>
          <w:p w:rsidR="00B309F0" w:rsidRPr="00B309F0" w:rsidRDefault="00B309F0" w:rsidP="00B309F0">
            <w:pPr>
              <w:widowControl w:val="0"/>
              <w:overflowPunct w:val="0"/>
              <w:autoSpaceDE w:val="0"/>
              <w:autoSpaceDN w:val="0"/>
              <w:adjustRightInd w:val="0"/>
              <w:jc w:val="center"/>
              <w:textAlignment w:val="baseline"/>
              <w:rPr>
                <w:rFonts w:eastAsia="Times New Roman"/>
                <w:lang w:eastAsia="sk-SK"/>
              </w:rPr>
            </w:pPr>
            <w:r w:rsidRPr="00B309F0">
              <w:rPr>
                <w:rFonts w:eastAsia="Times New Roman"/>
                <w:lang w:eastAsia="sk-SK"/>
              </w:rPr>
              <w:t xml:space="preserve">Štefanovičova 3, P. O. BOX 76 </w:t>
            </w:r>
          </w:p>
          <w:p w:rsidR="00B309F0" w:rsidRPr="00B309F0" w:rsidRDefault="00B309F0" w:rsidP="00B309F0">
            <w:pPr>
              <w:widowControl w:val="0"/>
              <w:overflowPunct w:val="0"/>
              <w:autoSpaceDE w:val="0"/>
              <w:autoSpaceDN w:val="0"/>
              <w:adjustRightInd w:val="0"/>
              <w:jc w:val="center"/>
              <w:textAlignment w:val="baseline"/>
              <w:rPr>
                <w:rFonts w:eastAsia="Times New Roman"/>
                <w:lang w:eastAsia="sk-SK"/>
              </w:rPr>
            </w:pPr>
            <w:r w:rsidRPr="00B309F0">
              <w:rPr>
                <w:rFonts w:eastAsia="Times New Roman"/>
                <w:lang w:eastAsia="sk-SK"/>
              </w:rPr>
              <w:t>810 05 Bratislava 15</w:t>
            </w:r>
          </w:p>
          <w:p w:rsidR="00B309F0" w:rsidRPr="00B309F0" w:rsidRDefault="00B309F0" w:rsidP="00B309F0">
            <w:pPr>
              <w:widowControl w:val="0"/>
              <w:overflowPunct w:val="0"/>
              <w:autoSpaceDE w:val="0"/>
              <w:autoSpaceDN w:val="0"/>
              <w:adjustRightInd w:val="0"/>
              <w:jc w:val="center"/>
              <w:textAlignment w:val="baseline"/>
              <w:rPr>
                <w:rFonts w:eastAsia="Times New Roman"/>
                <w:lang w:eastAsia="sk-SK"/>
              </w:rPr>
            </w:pPr>
            <w:r w:rsidRPr="00B309F0">
              <w:rPr>
                <w:rFonts w:eastAsia="Times New Roman"/>
                <w:lang w:eastAsia="sk-SK"/>
              </w:rPr>
              <w:t>IČO: 30 810 710</w:t>
            </w:r>
          </w:p>
          <w:p w:rsidR="00B309F0" w:rsidRPr="00B309F0" w:rsidRDefault="00B309F0" w:rsidP="00B309F0">
            <w:pPr>
              <w:widowControl w:val="0"/>
              <w:overflowPunct w:val="0"/>
              <w:autoSpaceDE w:val="0"/>
              <w:autoSpaceDN w:val="0"/>
              <w:adjustRightInd w:val="0"/>
              <w:jc w:val="center"/>
              <w:textAlignment w:val="baseline"/>
              <w:rPr>
                <w:rFonts w:eastAsia="Times New Roman"/>
                <w:lang w:eastAsia="sk-SK"/>
              </w:rPr>
            </w:pPr>
            <w:r w:rsidRPr="00B309F0">
              <w:rPr>
                <w:rFonts w:eastAsia="Times New Roman"/>
                <w:lang w:eastAsia="sk-SK"/>
              </w:rPr>
              <w:t xml:space="preserve">Tel.: 02/20 90 70 00             </w:t>
            </w:r>
          </w:p>
        </w:tc>
        <w:tc>
          <w:tcPr>
            <w:tcW w:w="4536" w:type="dxa"/>
            <w:tcBorders>
              <w:top w:val="single" w:sz="12" w:space="0" w:color="auto"/>
              <w:left w:val="single" w:sz="12" w:space="0" w:color="auto"/>
              <w:bottom w:val="single" w:sz="4" w:space="0" w:color="auto"/>
            </w:tcBorders>
          </w:tcPr>
          <w:p w:rsidR="00B309F0" w:rsidRPr="00B309F0" w:rsidRDefault="00B309F0" w:rsidP="00B309F0">
            <w:pPr>
              <w:widowControl w:val="0"/>
              <w:overflowPunct w:val="0"/>
              <w:autoSpaceDE w:val="0"/>
              <w:autoSpaceDN w:val="0"/>
              <w:adjustRightInd w:val="0"/>
              <w:jc w:val="both"/>
              <w:textAlignment w:val="baseline"/>
              <w:rPr>
                <w:rFonts w:eastAsia="Times New Roman"/>
                <w:b/>
                <w:lang w:eastAsia="sk-SK"/>
              </w:rPr>
            </w:pPr>
            <w:r w:rsidRPr="00B309F0">
              <w:rPr>
                <w:rFonts w:eastAsia="Times New Roman"/>
                <w:b/>
                <w:lang w:eastAsia="sk-SK"/>
              </w:rPr>
              <w:t>Doručené dňa:</w:t>
            </w:r>
          </w:p>
        </w:tc>
      </w:tr>
      <w:tr w:rsidR="00B309F0" w:rsidRPr="00B309F0" w:rsidTr="001D38DA">
        <w:trPr>
          <w:cantSplit/>
          <w:trHeight w:val="1283"/>
        </w:trPr>
        <w:tc>
          <w:tcPr>
            <w:tcW w:w="4890" w:type="dxa"/>
            <w:vMerge/>
            <w:tcBorders>
              <w:bottom w:val="single" w:sz="12" w:space="0" w:color="auto"/>
              <w:right w:val="single" w:sz="12" w:space="0" w:color="auto"/>
            </w:tcBorders>
          </w:tcPr>
          <w:p w:rsidR="00B309F0" w:rsidRPr="00B309F0" w:rsidRDefault="00B309F0" w:rsidP="00B309F0">
            <w:pPr>
              <w:widowControl w:val="0"/>
              <w:overflowPunct w:val="0"/>
              <w:autoSpaceDE w:val="0"/>
              <w:autoSpaceDN w:val="0"/>
              <w:adjustRightInd w:val="0"/>
              <w:jc w:val="both"/>
              <w:textAlignment w:val="baseline"/>
              <w:rPr>
                <w:rFonts w:eastAsia="Times New Roman"/>
                <w:lang w:eastAsia="sk-SK"/>
              </w:rPr>
            </w:pPr>
          </w:p>
        </w:tc>
        <w:tc>
          <w:tcPr>
            <w:tcW w:w="4536" w:type="dxa"/>
            <w:tcBorders>
              <w:top w:val="single" w:sz="4" w:space="0" w:color="auto"/>
              <w:left w:val="single" w:sz="12" w:space="0" w:color="auto"/>
            </w:tcBorders>
          </w:tcPr>
          <w:p w:rsidR="00B309F0" w:rsidRPr="00B309F0" w:rsidRDefault="00B309F0" w:rsidP="00B309F0">
            <w:pPr>
              <w:widowControl w:val="0"/>
              <w:overflowPunct w:val="0"/>
              <w:autoSpaceDE w:val="0"/>
              <w:autoSpaceDN w:val="0"/>
              <w:adjustRightInd w:val="0"/>
              <w:jc w:val="both"/>
              <w:textAlignment w:val="baseline"/>
              <w:rPr>
                <w:rFonts w:eastAsia="Times New Roman"/>
                <w:b/>
                <w:lang w:eastAsia="sk-SK"/>
              </w:rPr>
            </w:pPr>
            <w:r w:rsidRPr="00B309F0">
              <w:rPr>
                <w:rFonts w:eastAsia="Times New Roman"/>
                <w:b/>
                <w:lang w:eastAsia="sk-SK"/>
              </w:rPr>
              <w:t>Evidenčné číslo:</w:t>
            </w:r>
          </w:p>
          <w:p w:rsidR="00B309F0" w:rsidRPr="00B309F0" w:rsidRDefault="00B309F0" w:rsidP="00B309F0">
            <w:pPr>
              <w:widowControl w:val="0"/>
              <w:overflowPunct w:val="0"/>
              <w:autoSpaceDE w:val="0"/>
              <w:autoSpaceDN w:val="0"/>
              <w:adjustRightInd w:val="0"/>
              <w:jc w:val="both"/>
              <w:textAlignment w:val="baseline"/>
              <w:rPr>
                <w:rFonts w:eastAsia="Times New Roman"/>
                <w:b/>
                <w:lang w:eastAsia="sk-SK"/>
              </w:rPr>
            </w:pPr>
          </w:p>
        </w:tc>
      </w:tr>
    </w:tbl>
    <w:p w:rsidR="00B309F0" w:rsidRPr="00B309F0" w:rsidRDefault="00B309F0" w:rsidP="00B309F0">
      <w:pPr>
        <w:widowControl w:val="0"/>
        <w:jc w:val="center"/>
        <w:rPr>
          <w:rFonts w:eastAsia="Times New Roman"/>
          <w:b/>
          <w:lang w:eastAsia="sk-SK"/>
        </w:rPr>
      </w:pPr>
    </w:p>
    <w:p w:rsidR="00B309F0" w:rsidRPr="00B309F0" w:rsidRDefault="00B309F0" w:rsidP="00B309F0">
      <w:pPr>
        <w:overflowPunct w:val="0"/>
        <w:autoSpaceDE w:val="0"/>
        <w:autoSpaceDN w:val="0"/>
        <w:jc w:val="center"/>
        <w:textAlignment w:val="baseline"/>
        <w:rPr>
          <w:rFonts w:eastAsia="Times New Roman"/>
          <w:b/>
          <w:lang w:eastAsia="sk-SK"/>
        </w:rPr>
      </w:pPr>
      <w:r w:rsidRPr="00B309F0">
        <w:rPr>
          <w:rFonts w:eastAsia="Times New Roman"/>
          <w:b/>
          <w:lang w:eastAsia="sk-SK"/>
        </w:rPr>
        <w:t xml:space="preserve">ŽIADOSŤ </w:t>
      </w:r>
    </w:p>
    <w:p w:rsidR="00B309F0" w:rsidRPr="00B309F0" w:rsidRDefault="00B309F0" w:rsidP="00B309F0">
      <w:pPr>
        <w:overflowPunct w:val="0"/>
        <w:autoSpaceDE w:val="0"/>
        <w:autoSpaceDN w:val="0"/>
        <w:jc w:val="both"/>
        <w:textAlignment w:val="baseline"/>
        <w:rPr>
          <w:rFonts w:eastAsia="Times New Roman"/>
          <w:lang w:eastAsia="sk-SK"/>
        </w:rPr>
      </w:pPr>
      <w:r w:rsidRPr="00B309F0">
        <w:rPr>
          <w:rFonts w:eastAsia="Times New Roman"/>
          <w:b/>
          <w:lang w:eastAsia="sk-SK"/>
        </w:rPr>
        <w:br/>
      </w:r>
      <w:r w:rsidRPr="00B309F0">
        <w:rPr>
          <w:rFonts w:eastAsia="Times New Roman"/>
          <w:lang w:eastAsia="sk-SK"/>
        </w:rPr>
        <w:t xml:space="preserve">podľa § 4 ods. 5 zákona č. 56/2018 Z. z. o posudzovaní zhody výrobku, sprístupňovaní určeného výrobku na trhu a o zmene a doplnení niektorých zákonov v znení zákona č. 259/2021 Z. z. </w:t>
      </w:r>
      <w:r w:rsidRPr="00B309F0">
        <w:rPr>
          <w:rFonts w:eastAsia="Times New Roman"/>
          <w:lang w:eastAsia="sk-SK"/>
        </w:rPr>
        <w:br/>
        <w:t>o uvedenie určeného výrobku na trh bez posudzovania zhody podľa § 22 zákona č. 56/2018 Z. z. o posudzovaní zhody výrobku, sprístupňovaní určeného výrobku na trhu a o zmene a doplnení niektorých zákonov a článku 59 nariadenia Európskeho parlamentu a Rady (EÚ) 2017/745 z 5. apríla 2017 o zdravotníckych pomôckach, zmene smernice 2001/83/ES, nariadenia (ES) č. 178/2002 a nariadenia (ES) č. 1223/2009 a o zrušení smerníc Rady 90/385/EHS a 93/42/EHS v platnom znení alebo článku 54 nariadenia Európskeho parlamentu a Rady (EÚ) 2017/746 z 5. apríla 2017 o diagnostických zdravotníckych pomôckach in vitro a o zrušení smernice 98/79/ES a rozhodnutia Komisie 2010/227/EÚ v platnom znení</w:t>
      </w:r>
    </w:p>
    <w:p w:rsidR="00B309F0" w:rsidRPr="00B309F0" w:rsidRDefault="00B309F0" w:rsidP="00B309F0">
      <w:pPr>
        <w:widowControl w:val="0"/>
        <w:overflowPunct w:val="0"/>
        <w:autoSpaceDE w:val="0"/>
        <w:autoSpaceDN w:val="0"/>
        <w:adjustRightInd w:val="0"/>
        <w:textAlignment w:val="baseline"/>
        <w:rPr>
          <w:rFonts w:eastAsia="Times New Roman"/>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979"/>
      </w:tblGrid>
      <w:tr w:rsidR="00B309F0" w:rsidRPr="00B309F0" w:rsidTr="001D38DA">
        <w:tc>
          <w:tcPr>
            <w:tcW w:w="9493" w:type="dxa"/>
            <w:gridSpan w:val="2"/>
            <w:shd w:val="clear" w:color="auto" w:fill="auto"/>
          </w:tcPr>
          <w:p w:rsidR="00B309F0" w:rsidRPr="00B309F0" w:rsidRDefault="00B309F0" w:rsidP="00B309F0">
            <w:pPr>
              <w:widowControl w:val="0"/>
              <w:numPr>
                <w:ilvl w:val="0"/>
                <w:numId w:val="1"/>
              </w:numPr>
              <w:overflowPunct w:val="0"/>
              <w:autoSpaceDE w:val="0"/>
              <w:autoSpaceDN w:val="0"/>
              <w:adjustRightInd w:val="0"/>
              <w:textAlignment w:val="baseline"/>
              <w:rPr>
                <w:rFonts w:eastAsia="Times New Roman"/>
                <w:b/>
                <w:lang w:eastAsia="sk-SK"/>
              </w:rPr>
            </w:pPr>
            <w:r w:rsidRPr="00B309F0">
              <w:rPr>
                <w:rFonts w:eastAsia="Times New Roman"/>
                <w:b/>
                <w:lang w:eastAsia="sk-SK"/>
              </w:rPr>
              <w:t>Identifikačné údaje žiadateľa:</w:t>
            </w:r>
          </w:p>
        </w:tc>
      </w:tr>
      <w:tr w:rsidR="00B309F0" w:rsidRPr="00B309F0" w:rsidTr="001D38DA">
        <w:tc>
          <w:tcPr>
            <w:tcW w:w="9493" w:type="dxa"/>
            <w:gridSpan w:val="2"/>
            <w:shd w:val="clear" w:color="auto" w:fill="auto"/>
          </w:tcPr>
          <w:p w:rsidR="00B309F0" w:rsidRPr="00B309F0" w:rsidRDefault="00B309F0" w:rsidP="00B309F0">
            <w:pPr>
              <w:widowControl w:val="0"/>
              <w:overflowPunct w:val="0"/>
              <w:autoSpaceDE w:val="0"/>
              <w:autoSpaceDN w:val="0"/>
              <w:adjustRightInd w:val="0"/>
              <w:textAlignment w:val="baseline"/>
              <w:rPr>
                <w:rFonts w:eastAsia="Times New Roman"/>
                <w:lang w:eastAsia="sk-SK"/>
              </w:rPr>
            </w:pPr>
            <w:r w:rsidRPr="00B309F0">
              <w:rPr>
                <w:rFonts w:eastAsia="Times New Roman"/>
                <w:lang w:eastAsia="sk-SK"/>
              </w:rPr>
              <w:t>Obchodné meno/názov:</w:t>
            </w:r>
          </w:p>
        </w:tc>
      </w:tr>
      <w:tr w:rsidR="00B309F0" w:rsidRPr="00B309F0" w:rsidTr="001D38DA">
        <w:trPr>
          <w:trHeight w:val="363"/>
        </w:trPr>
        <w:tc>
          <w:tcPr>
            <w:tcW w:w="9493" w:type="dxa"/>
            <w:gridSpan w:val="2"/>
            <w:shd w:val="clear" w:color="auto" w:fill="auto"/>
          </w:tcPr>
          <w:p w:rsidR="00B309F0" w:rsidRPr="00B309F0" w:rsidRDefault="00B309F0" w:rsidP="00B309F0">
            <w:pPr>
              <w:widowControl w:val="0"/>
              <w:overflowPunct w:val="0"/>
              <w:autoSpaceDE w:val="0"/>
              <w:autoSpaceDN w:val="0"/>
              <w:adjustRightInd w:val="0"/>
              <w:textAlignment w:val="baseline"/>
              <w:rPr>
                <w:rFonts w:eastAsia="Times New Roman"/>
                <w:lang w:eastAsia="sk-SK"/>
              </w:rPr>
            </w:pPr>
            <w:r w:rsidRPr="00B309F0">
              <w:rPr>
                <w:rFonts w:eastAsia="Times New Roman"/>
                <w:lang w:eastAsia="sk-SK"/>
              </w:rPr>
              <w:t xml:space="preserve">Sídlo/miesto podnikania žiadateľa: </w:t>
            </w:r>
          </w:p>
        </w:tc>
      </w:tr>
      <w:tr w:rsidR="00B309F0" w:rsidRPr="00B309F0" w:rsidTr="001D38DA">
        <w:tc>
          <w:tcPr>
            <w:tcW w:w="9493" w:type="dxa"/>
            <w:gridSpan w:val="2"/>
            <w:shd w:val="clear" w:color="auto" w:fill="auto"/>
          </w:tcPr>
          <w:p w:rsidR="00B309F0" w:rsidRPr="00B309F0" w:rsidRDefault="00B309F0" w:rsidP="00B309F0">
            <w:pPr>
              <w:widowControl w:val="0"/>
              <w:overflowPunct w:val="0"/>
              <w:autoSpaceDE w:val="0"/>
              <w:autoSpaceDN w:val="0"/>
              <w:adjustRightInd w:val="0"/>
              <w:textAlignment w:val="baseline"/>
              <w:rPr>
                <w:rFonts w:eastAsia="Times New Roman"/>
                <w:lang w:eastAsia="sk-SK"/>
              </w:rPr>
            </w:pPr>
            <w:r w:rsidRPr="00B309F0">
              <w:rPr>
                <w:rFonts w:eastAsia="Times New Roman"/>
                <w:lang w:eastAsia="sk-SK"/>
              </w:rPr>
              <w:t>IČO:</w:t>
            </w:r>
          </w:p>
        </w:tc>
      </w:tr>
      <w:tr w:rsidR="00B309F0" w:rsidRPr="00B309F0" w:rsidTr="001D38DA">
        <w:tc>
          <w:tcPr>
            <w:tcW w:w="9493" w:type="dxa"/>
            <w:gridSpan w:val="2"/>
            <w:shd w:val="clear" w:color="auto" w:fill="auto"/>
          </w:tcPr>
          <w:p w:rsidR="00B309F0" w:rsidRPr="00B309F0" w:rsidRDefault="00B309F0" w:rsidP="00B309F0">
            <w:pPr>
              <w:widowControl w:val="0"/>
              <w:overflowPunct w:val="0"/>
              <w:autoSpaceDE w:val="0"/>
              <w:autoSpaceDN w:val="0"/>
              <w:adjustRightInd w:val="0"/>
              <w:textAlignment w:val="baseline"/>
              <w:rPr>
                <w:rFonts w:eastAsia="Times New Roman"/>
                <w:lang w:eastAsia="sk-SK"/>
              </w:rPr>
            </w:pPr>
            <w:r w:rsidRPr="00B309F0">
              <w:rPr>
                <w:rFonts w:eastAsia="Times New Roman"/>
                <w:lang w:eastAsia="sk-SK"/>
              </w:rPr>
              <w:t>Štatutárny orgán:</w:t>
            </w:r>
          </w:p>
        </w:tc>
      </w:tr>
      <w:tr w:rsidR="00B309F0" w:rsidRPr="00B309F0" w:rsidTr="001D38DA">
        <w:tc>
          <w:tcPr>
            <w:tcW w:w="9493" w:type="dxa"/>
            <w:gridSpan w:val="2"/>
            <w:shd w:val="clear" w:color="auto" w:fill="auto"/>
          </w:tcPr>
          <w:p w:rsidR="00B309F0" w:rsidRPr="00B309F0" w:rsidRDefault="00B309F0" w:rsidP="00B309F0">
            <w:pPr>
              <w:widowControl w:val="0"/>
              <w:overflowPunct w:val="0"/>
              <w:autoSpaceDE w:val="0"/>
              <w:autoSpaceDN w:val="0"/>
              <w:adjustRightInd w:val="0"/>
              <w:textAlignment w:val="baseline"/>
              <w:rPr>
                <w:rFonts w:eastAsia="Times New Roman"/>
                <w:lang w:eastAsia="sk-SK"/>
              </w:rPr>
            </w:pPr>
            <w:r w:rsidRPr="00B309F0">
              <w:rPr>
                <w:rFonts w:eastAsia="Times New Roman"/>
                <w:lang w:eastAsia="sk-SK"/>
              </w:rPr>
              <w:t>Telefón:</w:t>
            </w:r>
          </w:p>
        </w:tc>
      </w:tr>
      <w:tr w:rsidR="00B309F0" w:rsidRPr="00B309F0" w:rsidTr="001D38DA">
        <w:tc>
          <w:tcPr>
            <w:tcW w:w="9493" w:type="dxa"/>
            <w:gridSpan w:val="2"/>
            <w:shd w:val="clear" w:color="auto" w:fill="auto"/>
          </w:tcPr>
          <w:p w:rsidR="00B309F0" w:rsidRPr="00B309F0" w:rsidRDefault="00B309F0" w:rsidP="00B309F0">
            <w:pPr>
              <w:widowControl w:val="0"/>
              <w:overflowPunct w:val="0"/>
              <w:autoSpaceDE w:val="0"/>
              <w:autoSpaceDN w:val="0"/>
              <w:adjustRightInd w:val="0"/>
              <w:textAlignment w:val="baseline"/>
              <w:rPr>
                <w:rFonts w:eastAsia="Times New Roman"/>
                <w:lang w:eastAsia="sk-SK"/>
              </w:rPr>
            </w:pPr>
            <w:r w:rsidRPr="00B309F0">
              <w:rPr>
                <w:rFonts w:eastAsia="Times New Roman"/>
                <w:lang w:eastAsia="sk-SK"/>
              </w:rPr>
              <w:t>E- mail:</w:t>
            </w:r>
          </w:p>
        </w:tc>
      </w:tr>
      <w:tr w:rsidR="00B309F0" w:rsidRPr="00B309F0" w:rsidTr="001D38DA">
        <w:tc>
          <w:tcPr>
            <w:tcW w:w="9493" w:type="dxa"/>
            <w:gridSpan w:val="2"/>
            <w:shd w:val="clear" w:color="auto" w:fill="auto"/>
          </w:tcPr>
          <w:p w:rsidR="00B309F0" w:rsidRPr="00B309F0" w:rsidRDefault="00B309F0" w:rsidP="00B309F0">
            <w:pPr>
              <w:widowControl w:val="0"/>
              <w:overflowPunct w:val="0"/>
              <w:autoSpaceDE w:val="0"/>
              <w:autoSpaceDN w:val="0"/>
              <w:adjustRightInd w:val="0"/>
              <w:jc w:val="both"/>
              <w:textAlignment w:val="baseline"/>
              <w:rPr>
                <w:rFonts w:eastAsia="Times New Roman"/>
                <w:lang w:eastAsia="sk-SK"/>
              </w:rPr>
            </w:pPr>
            <w:r w:rsidRPr="00B309F0">
              <w:rPr>
                <w:rFonts w:eastAsia="Times New Roman"/>
                <w:lang w:eastAsia="sk-SK"/>
              </w:rPr>
              <w:t>Vzťah žiadateľa k zdravotníckej pomôcke/diagnostickej zdravotníckej pomôcke in vitro – identifikovanie, či žiadateľ je výrobcom, splnomocneným zástupcom, dovozcom alebo distribútorom zdravotníckej pomôcky/diagnostickej zdravotníckej pomôcke in vitro:</w:t>
            </w:r>
          </w:p>
          <w:p w:rsidR="00B309F0" w:rsidRPr="00B309F0" w:rsidRDefault="00B309F0" w:rsidP="00B309F0">
            <w:pPr>
              <w:widowControl w:val="0"/>
              <w:overflowPunct w:val="0"/>
              <w:autoSpaceDE w:val="0"/>
              <w:autoSpaceDN w:val="0"/>
              <w:adjustRightInd w:val="0"/>
              <w:textAlignment w:val="baseline"/>
              <w:rPr>
                <w:rFonts w:eastAsia="Times New Roman"/>
                <w:lang w:eastAsia="sk-SK"/>
              </w:rPr>
            </w:pPr>
          </w:p>
        </w:tc>
      </w:tr>
      <w:tr w:rsidR="00B309F0" w:rsidRPr="00B309F0" w:rsidTr="001D38DA">
        <w:tc>
          <w:tcPr>
            <w:tcW w:w="9493" w:type="dxa"/>
            <w:gridSpan w:val="2"/>
            <w:shd w:val="clear" w:color="auto" w:fill="auto"/>
          </w:tcPr>
          <w:p w:rsidR="00B309F0" w:rsidRPr="00B309F0" w:rsidRDefault="00B309F0" w:rsidP="00B309F0">
            <w:pPr>
              <w:widowControl w:val="0"/>
              <w:numPr>
                <w:ilvl w:val="0"/>
                <w:numId w:val="1"/>
              </w:numPr>
              <w:overflowPunct w:val="0"/>
              <w:autoSpaceDE w:val="0"/>
              <w:autoSpaceDN w:val="0"/>
              <w:adjustRightInd w:val="0"/>
              <w:jc w:val="both"/>
              <w:textAlignment w:val="baseline"/>
              <w:rPr>
                <w:rFonts w:eastAsia="Times New Roman"/>
                <w:b/>
                <w:lang w:eastAsia="sk-SK"/>
              </w:rPr>
            </w:pPr>
            <w:r w:rsidRPr="00B309F0">
              <w:rPr>
                <w:rFonts w:eastAsia="Times New Roman"/>
                <w:b/>
                <w:lang w:eastAsia="sk-SK"/>
              </w:rPr>
              <w:t>Identifikačné údaje o výrobcovi zdravotníckej pomôcky/diagnostickej zdravotníckej pomôcky in vitro, pre ktorú sa žiada o výnimku:</w:t>
            </w:r>
          </w:p>
        </w:tc>
      </w:tr>
      <w:tr w:rsidR="00B309F0" w:rsidRPr="00B309F0" w:rsidTr="001D38DA">
        <w:tc>
          <w:tcPr>
            <w:tcW w:w="9493" w:type="dxa"/>
            <w:gridSpan w:val="2"/>
            <w:shd w:val="clear" w:color="auto" w:fill="auto"/>
          </w:tcPr>
          <w:p w:rsidR="00B309F0" w:rsidRPr="00B309F0" w:rsidRDefault="00B309F0" w:rsidP="00B309F0">
            <w:pPr>
              <w:widowControl w:val="0"/>
              <w:overflowPunct w:val="0"/>
              <w:autoSpaceDE w:val="0"/>
              <w:autoSpaceDN w:val="0"/>
              <w:adjustRightInd w:val="0"/>
              <w:textAlignment w:val="baseline"/>
              <w:rPr>
                <w:rFonts w:eastAsia="Times New Roman"/>
                <w:lang w:eastAsia="sk-SK"/>
              </w:rPr>
            </w:pPr>
            <w:r w:rsidRPr="00B309F0">
              <w:rPr>
                <w:rFonts w:eastAsia="Times New Roman"/>
                <w:lang w:eastAsia="sk-SK"/>
              </w:rPr>
              <w:t>Obchodné meno/názov:</w:t>
            </w:r>
          </w:p>
        </w:tc>
      </w:tr>
      <w:tr w:rsidR="00B309F0" w:rsidRPr="00B309F0" w:rsidTr="001D38DA">
        <w:tc>
          <w:tcPr>
            <w:tcW w:w="9493" w:type="dxa"/>
            <w:gridSpan w:val="2"/>
            <w:shd w:val="clear" w:color="auto" w:fill="auto"/>
          </w:tcPr>
          <w:p w:rsidR="00B309F0" w:rsidRPr="00B309F0" w:rsidRDefault="00B309F0" w:rsidP="00B309F0">
            <w:pPr>
              <w:widowControl w:val="0"/>
              <w:overflowPunct w:val="0"/>
              <w:autoSpaceDE w:val="0"/>
              <w:autoSpaceDN w:val="0"/>
              <w:adjustRightInd w:val="0"/>
              <w:textAlignment w:val="baseline"/>
              <w:rPr>
                <w:rFonts w:eastAsia="Times New Roman"/>
                <w:lang w:eastAsia="sk-SK"/>
              </w:rPr>
            </w:pPr>
            <w:r w:rsidRPr="00B309F0">
              <w:rPr>
                <w:rFonts w:eastAsia="Times New Roman"/>
                <w:lang w:eastAsia="sk-SK"/>
              </w:rPr>
              <w:t>Sídlo/miesto podnikania výrobcu:</w:t>
            </w:r>
          </w:p>
        </w:tc>
      </w:tr>
      <w:tr w:rsidR="00B309F0" w:rsidRPr="00B309F0" w:rsidTr="001D38DA">
        <w:trPr>
          <w:trHeight w:val="350"/>
        </w:trPr>
        <w:tc>
          <w:tcPr>
            <w:tcW w:w="9493" w:type="dxa"/>
            <w:gridSpan w:val="2"/>
            <w:shd w:val="clear" w:color="auto" w:fill="auto"/>
          </w:tcPr>
          <w:p w:rsidR="00B309F0" w:rsidRPr="00B309F0" w:rsidRDefault="00B309F0" w:rsidP="00B309F0">
            <w:pPr>
              <w:widowControl w:val="0"/>
              <w:overflowPunct w:val="0"/>
              <w:autoSpaceDE w:val="0"/>
              <w:autoSpaceDN w:val="0"/>
              <w:adjustRightInd w:val="0"/>
              <w:textAlignment w:val="baseline"/>
              <w:rPr>
                <w:rFonts w:eastAsia="Times New Roman"/>
                <w:lang w:eastAsia="sk-SK"/>
              </w:rPr>
            </w:pPr>
            <w:r w:rsidRPr="00B309F0">
              <w:rPr>
                <w:rFonts w:eastAsia="Times New Roman"/>
                <w:lang w:eastAsia="sk-SK"/>
              </w:rPr>
              <w:t>IČO:</w:t>
            </w:r>
          </w:p>
        </w:tc>
      </w:tr>
      <w:tr w:rsidR="00B309F0" w:rsidRPr="00B309F0" w:rsidTr="001D38DA">
        <w:tc>
          <w:tcPr>
            <w:tcW w:w="9493" w:type="dxa"/>
            <w:gridSpan w:val="2"/>
            <w:shd w:val="clear" w:color="auto" w:fill="auto"/>
          </w:tcPr>
          <w:p w:rsidR="00B309F0" w:rsidRPr="00B309F0" w:rsidRDefault="00B309F0" w:rsidP="00B309F0">
            <w:pPr>
              <w:widowControl w:val="0"/>
              <w:overflowPunct w:val="0"/>
              <w:autoSpaceDE w:val="0"/>
              <w:autoSpaceDN w:val="0"/>
              <w:adjustRightInd w:val="0"/>
              <w:textAlignment w:val="baseline"/>
              <w:rPr>
                <w:rFonts w:eastAsia="Times New Roman"/>
                <w:b/>
                <w:lang w:eastAsia="sk-SK"/>
              </w:rPr>
            </w:pPr>
            <w:r w:rsidRPr="00B309F0">
              <w:rPr>
                <w:rFonts w:eastAsia="Times New Roman"/>
                <w:lang w:eastAsia="sk-SK"/>
              </w:rPr>
              <w:t>Telefón:</w:t>
            </w:r>
          </w:p>
        </w:tc>
      </w:tr>
      <w:tr w:rsidR="00B309F0" w:rsidRPr="00B309F0" w:rsidTr="001D38DA">
        <w:tc>
          <w:tcPr>
            <w:tcW w:w="9493" w:type="dxa"/>
            <w:gridSpan w:val="2"/>
            <w:shd w:val="clear" w:color="auto" w:fill="auto"/>
          </w:tcPr>
          <w:p w:rsidR="00B309F0" w:rsidRPr="00B309F0" w:rsidRDefault="00B309F0" w:rsidP="00B309F0">
            <w:pPr>
              <w:widowControl w:val="0"/>
              <w:overflowPunct w:val="0"/>
              <w:autoSpaceDE w:val="0"/>
              <w:autoSpaceDN w:val="0"/>
              <w:adjustRightInd w:val="0"/>
              <w:textAlignment w:val="baseline"/>
              <w:rPr>
                <w:rFonts w:eastAsia="Times New Roman"/>
                <w:lang w:eastAsia="sk-SK"/>
              </w:rPr>
            </w:pPr>
            <w:r w:rsidRPr="00B309F0">
              <w:rPr>
                <w:rFonts w:eastAsia="Times New Roman"/>
                <w:lang w:eastAsia="sk-SK"/>
              </w:rPr>
              <w:t>E-mail:</w:t>
            </w:r>
          </w:p>
        </w:tc>
      </w:tr>
      <w:tr w:rsidR="00B309F0" w:rsidRPr="00B309F0" w:rsidTr="001D38DA">
        <w:tc>
          <w:tcPr>
            <w:tcW w:w="9493" w:type="dxa"/>
            <w:gridSpan w:val="2"/>
            <w:shd w:val="clear" w:color="auto" w:fill="auto"/>
          </w:tcPr>
          <w:p w:rsidR="00B309F0" w:rsidRPr="00B309F0" w:rsidRDefault="00B309F0" w:rsidP="00B309F0">
            <w:pPr>
              <w:widowControl w:val="0"/>
              <w:numPr>
                <w:ilvl w:val="0"/>
                <w:numId w:val="1"/>
              </w:numPr>
              <w:overflowPunct w:val="0"/>
              <w:autoSpaceDE w:val="0"/>
              <w:autoSpaceDN w:val="0"/>
              <w:adjustRightInd w:val="0"/>
              <w:jc w:val="both"/>
              <w:textAlignment w:val="baseline"/>
              <w:rPr>
                <w:rFonts w:eastAsia="Times New Roman"/>
                <w:b/>
                <w:lang w:eastAsia="sk-SK"/>
              </w:rPr>
            </w:pPr>
            <w:r w:rsidRPr="00B309F0">
              <w:rPr>
                <w:rFonts w:eastAsia="Times New Roman"/>
                <w:b/>
                <w:lang w:eastAsia="sk-SK"/>
              </w:rPr>
              <w:t>Identifikačné údaje splnomocneného zástupcu zdravotníckej pomôcky/diagnostickej zdravotníckej pomôcky in vitro, pre ktorú sa žiada o výnimku:</w:t>
            </w:r>
          </w:p>
        </w:tc>
      </w:tr>
      <w:tr w:rsidR="00B309F0" w:rsidRPr="00B309F0" w:rsidTr="001D38DA">
        <w:tc>
          <w:tcPr>
            <w:tcW w:w="9493" w:type="dxa"/>
            <w:gridSpan w:val="2"/>
            <w:shd w:val="clear" w:color="auto" w:fill="auto"/>
          </w:tcPr>
          <w:p w:rsidR="00B309F0" w:rsidRPr="00B309F0" w:rsidRDefault="00B309F0" w:rsidP="00B309F0">
            <w:pPr>
              <w:widowControl w:val="0"/>
              <w:overflowPunct w:val="0"/>
              <w:autoSpaceDE w:val="0"/>
              <w:autoSpaceDN w:val="0"/>
              <w:adjustRightInd w:val="0"/>
              <w:textAlignment w:val="baseline"/>
              <w:rPr>
                <w:rFonts w:eastAsia="Times New Roman"/>
                <w:b/>
                <w:lang w:eastAsia="sk-SK"/>
              </w:rPr>
            </w:pPr>
            <w:r w:rsidRPr="00B309F0">
              <w:rPr>
                <w:rFonts w:eastAsia="Times New Roman"/>
                <w:lang w:eastAsia="sk-SK"/>
              </w:rPr>
              <w:t>Celé meno/názov splnomocneného zástupcu:</w:t>
            </w:r>
          </w:p>
        </w:tc>
      </w:tr>
      <w:tr w:rsidR="00B309F0" w:rsidRPr="00B309F0" w:rsidTr="001D38DA">
        <w:tc>
          <w:tcPr>
            <w:tcW w:w="9493" w:type="dxa"/>
            <w:gridSpan w:val="2"/>
            <w:shd w:val="clear" w:color="auto" w:fill="auto"/>
          </w:tcPr>
          <w:p w:rsidR="00B309F0" w:rsidRPr="00B309F0" w:rsidRDefault="00B309F0" w:rsidP="00B309F0">
            <w:pPr>
              <w:widowControl w:val="0"/>
              <w:overflowPunct w:val="0"/>
              <w:autoSpaceDE w:val="0"/>
              <w:autoSpaceDN w:val="0"/>
              <w:adjustRightInd w:val="0"/>
              <w:textAlignment w:val="baseline"/>
              <w:rPr>
                <w:rFonts w:eastAsia="Times New Roman"/>
                <w:b/>
                <w:lang w:eastAsia="sk-SK"/>
              </w:rPr>
            </w:pPr>
            <w:r w:rsidRPr="00B309F0">
              <w:rPr>
                <w:rFonts w:eastAsia="Times New Roman"/>
                <w:lang w:eastAsia="sk-SK"/>
              </w:rPr>
              <w:t>Sídlo/miesto podnikania splnomocneného zástupcu:</w:t>
            </w:r>
          </w:p>
        </w:tc>
      </w:tr>
      <w:tr w:rsidR="00B309F0" w:rsidRPr="00B309F0" w:rsidTr="001D38DA">
        <w:tc>
          <w:tcPr>
            <w:tcW w:w="9493" w:type="dxa"/>
            <w:gridSpan w:val="2"/>
            <w:shd w:val="clear" w:color="auto" w:fill="auto"/>
          </w:tcPr>
          <w:p w:rsidR="00B309F0" w:rsidRPr="00B309F0" w:rsidRDefault="00B309F0" w:rsidP="00B309F0">
            <w:pPr>
              <w:widowControl w:val="0"/>
              <w:overflowPunct w:val="0"/>
              <w:autoSpaceDE w:val="0"/>
              <w:autoSpaceDN w:val="0"/>
              <w:adjustRightInd w:val="0"/>
              <w:textAlignment w:val="baseline"/>
              <w:rPr>
                <w:rFonts w:eastAsia="Times New Roman"/>
                <w:lang w:eastAsia="sk-SK"/>
              </w:rPr>
            </w:pPr>
            <w:r w:rsidRPr="00B309F0">
              <w:rPr>
                <w:rFonts w:eastAsia="Times New Roman"/>
                <w:lang w:eastAsia="sk-SK"/>
              </w:rPr>
              <w:t>IČO:</w:t>
            </w:r>
          </w:p>
        </w:tc>
      </w:tr>
      <w:tr w:rsidR="00B309F0" w:rsidRPr="00B309F0" w:rsidTr="001D38DA">
        <w:trPr>
          <w:trHeight w:val="958"/>
        </w:trPr>
        <w:tc>
          <w:tcPr>
            <w:tcW w:w="4514" w:type="dxa"/>
            <w:shd w:val="clear" w:color="auto" w:fill="auto"/>
          </w:tcPr>
          <w:p w:rsidR="00B309F0" w:rsidRPr="00B309F0" w:rsidRDefault="00B309F0" w:rsidP="00B309F0">
            <w:pPr>
              <w:widowControl w:val="0"/>
              <w:overflowPunct w:val="0"/>
              <w:autoSpaceDE w:val="0"/>
              <w:autoSpaceDN w:val="0"/>
              <w:adjustRightInd w:val="0"/>
              <w:textAlignment w:val="baseline"/>
              <w:rPr>
                <w:rFonts w:eastAsia="Times New Roman"/>
                <w:lang w:eastAsia="sk-SK"/>
              </w:rPr>
            </w:pPr>
            <w:r w:rsidRPr="00B309F0">
              <w:rPr>
                <w:rFonts w:eastAsia="Times New Roman"/>
                <w:lang w:eastAsia="sk-SK"/>
              </w:rPr>
              <w:t>E-mail:</w:t>
            </w:r>
          </w:p>
        </w:tc>
        <w:tc>
          <w:tcPr>
            <w:tcW w:w="4979" w:type="dxa"/>
            <w:shd w:val="clear" w:color="auto" w:fill="auto"/>
          </w:tcPr>
          <w:p w:rsidR="00B309F0" w:rsidRPr="00B309F0" w:rsidRDefault="00B309F0" w:rsidP="00B309F0">
            <w:pPr>
              <w:widowControl w:val="0"/>
              <w:overflowPunct w:val="0"/>
              <w:autoSpaceDE w:val="0"/>
              <w:autoSpaceDN w:val="0"/>
              <w:adjustRightInd w:val="0"/>
              <w:textAlignment w:val="baseline"/>
              <w:rPr>
                <w:rFonts w:eastAsia="Times New Roman"/>
                <w:lang w:eastAsia="sk-SK"/>
              </w:rPr>
            </w:pPr>
            <w:r w:rsidRPr="00B309F0">
              <w:rPr>
                <w:rFonts w:eastAsia="Times New Roman"/>
                <w:lang w:eastAsia="sk-SK"/>
              </w:rPr>
              <w:t>Kontaktná osoba/štatutárny orgán:</w:t>
            </w:r>
          </w:p>
        </w:tc>
      </w:tr>
      <w:tr w:rsidR="00B309F0" w:rsidRPr="00B309F0" w:rsidTr="001D38DA">
        <w:tc>
          <w:tcPr>
            <w:tcW w:w="9493" w:type="dxa"/>
            <w:gridSpan w:val="2"/>
            <w:shd w:val="clear" w:color="auto" w:fill="auto"/>
          </w:tcPr>
          <w:p w:rsidR="00B309F0" w:rsidRPr="00B309F0" w:rsidRDefault="00B309F0" w:rsidP="00B309F0">
            <w:pPr>
              <w:widowControl w:val="0"/>
              <w:numPr>
                <w:ilvl w:val="0"/>
                <w:numId w:val="1"/>
              </w:numPr>
              <w:overflowPunct w:val="0"/>
              <w:autoSpaceDE w:val="0"/>
              <w:autoSpaceDN w:val="0"/>
              <w:adjustRightInd w:val="0"/>
              <w:jc w:val="both"/>
              <w:textAlignment w:val="baseline"/>
              <w:rPr>
                <w:rFonts w:eastAsia="Times New Roman"/>
                <w:b/>
                <w:lang w:eastAsia="sk-SK"/>
              </w:rPr>
            </w:pPr>
            <w:r w:rsidRPr="00B309F0">
              <w:rPr>
                <w:rFonts w:eastAsia="Times New Roman"/>
                <w:b/>
                <w:lang w:eastAsia="sk-SK"/>
              </w:rPr>
              <w:t>Informácie o zdravotníckej pomôcke/diagnostickej zdravotníckej pomôcke in vitro, pre ktorú sa žiada výnimka:</w:t>
            </w:r>
          </w:p>
        </w:tc>
      </w:tr>
      <w:tr w:rsidR="00B309F0" w:rsidRPr="00B309F0" w:rsidTr="001D38DA">
        <w:tc>
          <w:tcPr>
            <w:tcW w:w="9493" w:type="dxa"/>
            <w:gridSpan w:val="2"/>
            <w:shd w:val="clear" w:color="auto" w:fill="auto"/>
          </w:tcPr>
          <w:p w:rsidR="00B309F0" w:rsidRPr="00B309F0" w:rsidRDefault="00B309F0" w:rsidP="00B309F0">
            <w:pPr>
              <w:widowControl w:val="0"/>
              <w:overflowPunct w:val="0"/>
              <w:autoSpaceDE w:val="0"/>
              <w:autoSpaceDN w:val="0"/>
              <w:adjustRightInd w:val="0"/>
              <w:textAlignment w:val="baseline"/>
              <w:rPr>
                <w:rFonts w:eastAsia="Times New Roman"/>
                <w:lang w:eastAsia="sk-SK"/>
              </w:rPr>
            </w:pPr>
            <w:r w:rsidRPr="00B309F0">
              <w:rPr>
                <w:rFonts w:eastAsia="Times New Roman"/>
                <w:lang w:eastAsia="sk-SK"/>
              </w:rPr>
              <w:t>i. Úplný názov zdravotníckej pomôcky/diagnostickej zdravotníckej pomôcky in vitro:</w:t>
            </w:r>
          </w:p>
          <w:p w:rsidR="00B309F0" w:rsidRPr="00B309F0" w:rsidRDefault="00B309F0" w:rsidP="00B309F0">
            <w:pPr>
              <w:widowControl w:val="0"/>
              <w:overflowPunct w:val="0"/>
              <w:autoSpaceDE w:val="0"/>
              <w:autoSpaceDN w:val="0"/>
              <w:adjustRightInd w:val="0"/>
              <w:textAlignment w:val="baseline"/>
              <w:rPr>
                <w:rFonts w:eastAsia="Times New Roman"/>
                <w:lang w:eastAsia="sk-SK"/>
              </w:rPr>
            </w:pPr>
          </w:p>
        </w:tc>
      </w:tr>
      <w:tr w:rsidR="00B309F0" w:rsidRPr="00B309F0" w:rsidTr="001D38DA">
        <w:tc>
          <w:tcPr>
            <w:tcW w:w="9493" w:type="dxa"/>
            <w:gridSpan w:val="2"/>
            <w:shd w:val="clear" w:color="auto" w:fill="auto"/>
          </w:tcPr>
          <w:p w:rsidR="00B309F0" w:rsidRPr="00B309F0" w:rsidRDefault="00B309F0" w:rsidP="00B309F0">
            <w:pPr>
              <w:widowControl w:val="0"/>
              <w:overflowPunct w:val="0"/>
              <w:autoSpaceDE w:val="0"/>
              <w:autoSpaceDN w:val="0"/>
              <w:adjustRightInd w:val="0"/>
              <w:textAlignment w:val="baseline"/>
              <w:rPr>
                <w:rFonts w:eastAsia="Times New Roman"/>
                <w:lang w:eastAsia="sk-SK"/>
              </w:rPr>
            </w:pPr>
            <w:r w:rsidRPr="00B309F0">
              <w:rPr>
                <w:rFonts w:eastAsia="Times New Roman"/>
                <w:lang w:eastAsia="sk-SK"/>
              </w:rPr>
              <w:t xml:space="preserve">ii. Trieda zdravotníckej pomôcky/diagnostickej zdravotníckej pomôcky in vitro: </w:t>
            </w:r>
          </w:p>
          <w:p w:rsidR="00B309F0" w:rsidRPr="00B309F0" w:rsidRDefault="00B309F0" w:rsidP="00B309F0">
            <w:pPr>
              <w:widowControl w:val="0"/>
              <w:overflowPunct w:val="0"/>
              <w:autoSpaceDE w:val="0"/>
              <w:autoSpaceDN w:val="0"/>
              <w:adjustRightInd w:val="0"/>
              <w:textAlignment w:val="baseline"/>
              <w:rPr>
                <w:rFonts w:eastAsia="Times New Roman"/>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02"/>
            </w:tblGrid>
            <w:tr w:rsidR="00B309F0" w:rsidRPr="00B309F0" w:rsidTr="001D38DA">
              <w:tc>
                <w:tcPr>
                  <w:tcW w:w="4514" w:type="dxa"/>
                  <w:shd w:val="clear" w:color="auto" w:fill="auto"/>
                </w:tcPr>
                <w:p w:rsidR="00B309F0" w:rsidRPr="00B309F0" w:rsidRDefault="00B309F0" w:rsidP="00B309F0">
                  <w:pPr>
                    <w:autoSpaceDE w:val="0"/>
                    <w:autoSpaceDN w:val="0"/>
                    <w:adjustRightInd w:val="0"/>
                    <w:spacing w:line="276" w:lineRule="auto"/>
                    <w:contextualSpacing/>
                    <w:jc w:val="both"/>
                    <w:rPr>
                      <w:rFonts w:eastAsia="Times New Roman"/>
                      <w:lang w:eastAsia="sk-SK"/>
                    </w:rPr>
                  </w:pPr>
                  <w:r w:rsidRPr="00B309F0">
                    <w:rPr>
                      <w:rFonts w:eastAsia="Times New Roman"/>
                      <w:lang w:eastAsia="sk-SK"/>
                    </w:rPr>
                    <w:t>Zdravotnícka pomôcka:</w:t>
                  </w:r>
                </w:p>
                <w:p w:rsidR="00B309F0" w:rsidRPr="00B309F0" w:rsidRDefault="00B309F0" w:rsidP="00B309F0">
                  <w:pPr>
                    <w:autoSpaceDE w:val="0"/>
                    <w:autoSpaceDN w:val="0"/>
                    <w:adjustRightInd w:val="0"/>
                    <w:spacing w:line="276" w:lineRule="auto"/>
                    <w:contextualSpacing/>
                    <w:jc w:val="both"/>
                    <w:rPr>
                      <w:rFonts w:eastAsia="Times New Roman"/>
                      <w:lang w:eastAsia="cs-CZ"/>
                    </w:rPr>
                  </w:pPr>
                </w:p>
                <w:p w:rsidR="00B309F0" w:rsidRPr="00B309F0" w:rsidRDefault="00B309F0" w:rsidP="00B309F0">
                  <w:pPr>
                    <w:autoSpaceDE w:val="0"/>
                    <w:autoSpaceDN w:val="0"/>
                    <w:adjustRightInd w:val="0"/>
                    <w:spacing w:line="276" w:lineRule="auto"/>
                    <w:contextualSpacing/>
                    <w:jc w:val="both"/>
                    <w:rPr>
                      <w:rFonts w:eastAsia="Times New Roman"/>
                      <w:lang w:eastAsia="cs-CZ"/>
                    </w:rPr>
                  </w:pPr>
                  <w:r w:rsidRPr="00B309F0">
                    <w:rPr>
                      <w:rFonts w:ascii="Segoe UI Symbol" w:eastAsia="Times New Roman" w:hAnsi="Segoe UI Symbol" w:cs="Segoe UI Symbol"/>
                      <w:lang w:eastAsia="cs-CZ"/>
                    </w:rPr>
                    <w:t>☐</w:t>
                  </w:r>
                  <w:r w:rsidRPr="00B309F0">
                    <w:rPr>
                      <w:rFonts w:eastAsia="Times New Roman"/>
                      <w:lang w:eastAsia="cs-CZ"/>
                    </w:rPr>
                    <w:t xml:space="preserve"> triedy I</w:t>
                  </w:r>
                </w:p>
                <w:p w:rsidR="00B309F0" w:rsidRPr="00B309F0" w:rsidRDefault="00B309F0" w:rsidP="00B309F0">
                  <w:pPr>
                    <w:autoSpaceDE w:val="0"/>
                    <w:autoSpaceDN w:val="0"/>
                    <w:adjustRightInd w:val="0"/>
                    <w:spacing w:line="276" w:lineRule="auto"/>
                    <w:contextualSpacing/>
                    <w:jc w:val="both"/>
                    <w:rPr>
                      <w:rFonts w:eastAsia="Times New Roman"/>
                      <w:lang w:eastAsia="cs-CZ"/>
                    </w:rPr>
                  </w:pPr>
                  <w:r w:rsidRPr="00B309F0">
                    <w:rPr>
                      <w:rFonts w:ascii="Segoe UI Symbol" w:eastAsia="Times New Roman" w:hAnsi="Segoe UI Symbol" w:cs="Segoe UI Symbol"/>
                      <w:lang w:eastAsia="cs-CZ"/>
                    </w:rPr>
                    <w:t>☐</w:t>
                  </w:r>
                  <w:r w:rsidRPr="00B309F0">
                    <w:rPr>
                      <w:rFonts w:eastAsia="Times New Roman"/>
                      <w:lang w:eastAsia="cs-CZ"/>
                    </w:rPr>
                    <w:t xml:space="preserve"> triedy Is</w:t>
                  </w:r>
                </w:p>
                <w:p w:rsidR="00B309F0" w:rsidRPr="00B309F0" w:rsidRDefault="00B309F0" w:rsidP="00B309F0">
                  <w:pPr>
                    <w:autoSpaceDE w:val="0"/>
                    <w:autoSpaceDN w:val="0"/>
                    <w:adjustRightInd w:val="0"/>
                    <w:spacing w:line="276" w:lineRule="auto"/>
                    <w:contextualSpacing/>
                    <w:jc w:val="both"/>
                    <w:rPr>
                      <w:rFonts w:eastAsia="Times New Roman"/>
                      <w:lang w:eastAsia="cs-CZ"/>
                    </w:rPr>
                  </w:pPr>
                  <w:r w:rsidRPr="00B309F0">
                    <w:rPr>
                      <w:rFonts w:ascii="Segoe UI Symbol" w:eastAsia="Times New Roman" w:hAnsi="Segoe UI Symbol" w:cs="Segoe UI Symbol"/>
                      <w:lang w:eastAsia="cs-CZ"/>
                    </w:rPr>
                    <w:t>☐</w:t>
                  </w:r>
                  <w:r w:rsidRPr="00B309F0">
                    <w:rPr>
                      <w:rFonts w:eastAsia="Times New Roman"/>
                      <w:lang w:eastAsia="cs-CZ"/>
                    </w:rPr>
                    <w:t xml:space="preserve"> triedy Im</w:t>
                  </w:r>
                </w:p>
                <w:p w:rsidR="00B309F0" w:rsidRPr="00B309F0" w:rsidRDefault="00B309F0" w:rsidP="00B309F0">
                  <w:pPr>
                    <w:autoSpaceDE w:val="0"/>
                    <w:autoSpaceDN w:val="0"/>
                    <w:adjustRightInd w:val="0"/>
                    <w:spacing w:line="276" w:lineRule="auto"/>
                    <w:contextualSpacing/>
                    <w:jc w:val="both"/>
                    <w:rPr>
                      <w:rFonts w:eastAsia="Times New Roman"/>
                      <w:lang w:eastAsia="cs-CZ"/>
                    </w:rPr>
                  </w:pPr>
                  <w:r w:rsidRPr="00B309F0">
                    <w:rPr>
                      <w:rFonts w:ascii="Segoe UI Symbol" w:eastAsia="Times New Roman" w:hAnsi="Segoe UI Symbol" w:cs="Segoe UI Symbol"/>
                      <w:lang w:eastAsia="cs-CZ"/>
                    </w:rPr>
                    <w:t>☐</w:t>
                  </w:r>
                  <w:r w:rsidRPr="00B309F0">
                    <w:rPr>
                      <w:rFonts w:eastAsia="Times New Roman"/>
                      <w:lang w:eastAsia="cs-CZ"/>
                    </w:rPr>
                    <w:t xml:space="preserve"> triedy IIa</w:t>
                  </w:r>
                </w:p>
                <w:p w:rsidR="00B309F0" w:rsidRPr="00B309F0" w:rsidRDefault="00B309F0" w:rsidP="00B309F0">
                  <w:pPr>
                    <w:autoSpaceDE w:val="0"/>
                    <w:autoSpaceDN w:val="0"/>
                    <w:adjustRightInd w:val="0"/>
                    <w:spacing w:line="276" w:lineRule="auto"/>
                    <w:contextualSpacing/>
                    <w:jc w:val="both"/>
                    <w:rPr>
                      <w:rFonts w:eastAsia="Times New Roman"/>
                      <w:lang w:eastAsia="cs-CZ"/>
                    </w:rPr>
                  </w:pPr>
                  <w:r w:rsidRPr="00B309F0">
                    <w:rPr>
                      <w:rFonts w:ascii="Segoe UI Symbol" w:eastAsia="Times New Roman" w:hAnsi="Segoe UI Symbol" w:cs="Segoe UI Symbol"/>
                      <w:lang w:eastAsia="cs-CZ"/>
                    </w:rPr>
                    <w:t>☐</w:t>
                  </w:r>
                  <w:r w:rsidRPr="00B309F0">
                    <w:rPr>
                      <w:rFonts w:eastAsia="Times New Roman"/>
                      <w:lang w:eastAsia="cs-CZ"/>
                    </w:rPr>
                    <w:t xml:space="preserve"> triedy IIb</w:t>
                  </w:r>
                </w:p>
                <w:p w:rsidR="00B309F0" w:rsidRPr="00B309F0" w:rsidRDefault="00B309F0" w:rsidP="00B309F0">
                  <w:pPr>
                    <w:autoSpaceDE w:val="0"/>
                    <w:autoSpaceDN w:val="0"/>
                    <w:adjustRightInd w:val="0"/>
                    <w:spacing w:line="276" w:lineRule="auto"/>
                    <w:contextualSpacing/>
                    <w:jc w:val="both"/>
                    <w:rPr>
                      <w:rFonts w:eastAsia="Times New Roman"/>
                      <w:lang w:eastAsia="cs-CZ"/>
                    </w:rPr>
                  </w:pPr>
                  <w:r w:rsidRPr="00B309F0">
                    <w:rPr>
                      <w:rFonts w:ascii="Segoe UI Symbol" w:eastAsia="Times New Roman" w:hAnsi="Segoe UI Symbol" w:cs="Segoe UI Symbol"/>
                      <w:lang w:eastAsia="cs-CZ"/>
                    </w:rPr>
                    <w:t>☐</w:t>
                  </w:r>
                  <w:r w:rsidRPr="00B309F0">
                    <w:rPr>
                      <w:rFonts w:eastAsia="Times New Roman"/>
                      <w:lang w:eastAsia="cs-CZ"/>
                    </w:rPr>
                    <w:t xml:space="preserve"> triedy III</w:t>
                  </w:r>
                </w:p>
                <w:p w:rsidR="00B309F0" w:rsidRPr="00B309F0" w:rsidRDefault="00B309F0" w:rsidP="00B309F0">
                  <w:pPr>
                    <w:autoSpaceDE w:val="0"/>
                    <w:autoSpaceDN w:val="0"/>
                    <w:adjustRightInd w:val="0"/>
                    <w:spacing w:line="276" w:lineRule="auto"/>
                    <w:contextualSpacing/>
                    <w:jc w:val="both"/>
                    <w:rPr>
                      <w:rFonts w:eastAsia="Times New Roman"/>
                      <w:lang w:eastAsia="cs-CZ"/>
                    </w:rPr>
                  </w:pPr>
                  <w:r w:rsidRPr="00B309F0">
                    <w:rPr>
                      <w:rFonts w:ascii="Segoe UI Symbol" w:eastAsia="Times New Roman" w:hAnsi="Segoe UI Symbol" w:cs="Segoe UI Symbol"/>
                      <w:lang w:eastAsia="cs-CZ"/>
                    </w:rPr>
                    <w:t>☐</w:t>
                  </w:r>
                  <w:r w:rsidRPr="00B309F0">
                    <w:rPr>
                      <w:rFonts w:eastAsia="Times New Roman"/>
                      <w:lang w:eastAsia="cs-CZ"/>
                    </w:rPr>
                    <w:t xml:space="preserve"> triedy I R</w:t>
                  </w:r>
                </w:p>
                <w:p w:rsidR="00B309F0" w:rsidRPr="00B309F0" w:rsidRDefault="00B309F0" w:rsidP="00B309F0">
                  <w:pPr>
                    <w:autoSpaceDE w:val="0"/>
                    <w:autoSpaceDN w:val="0"/>
                    <w:adjustRightInd w:val="0"/>
                    <w:spacing w:line="276" w:lineRule="auto"/>
                    <w:contextualSpacing/>
                    <w:jc w:val="both"/>
                    <w:rPr>
                      <w:rFonts w:eastAsia="Times New Roman"/>
                      <w:lang w:eastAsia="cs-CZ"/>
                    </w:rPr>
                  </w:pPr>
                </w:p>
              </w:tc>
              <w:tc>
                <w:tcPr>
                  <w:tcW w:w="4502" w:type="dxa"/>
                  <w:shd w:val="clear" w:color="auto" w:fill="auto"/>
                </w:tcPr>
                <w:p w:rsidR="00B309F0" w:rsidRPr="00B309F0" w:rsidRDefault="00B309F0" w:rsidP="00B309F0">
                  <w:pPr>
                    <w:autoSpaceDE w:val="0"/>
                    <w:autoSpaceDN w:val="0"/>
                    <w:adjustRightInd w:val="0"/>
                    <w:spacing w:line="276" w:lineRule="auto"/>
                    <w:contextualSpacing/>
                    <w:jc w:val="both"/>
                    <w:rPr>
                      <w:rFonts w:eastAsia="Times New Roman"/>
                      <w:lang w:eastAsia="sk-SK"/>
                    </w:rPr>
                  </w:pPr>
                  <w:r w:rsidRPr="00B309F0">
                    <w:rPr>
                      <w:rFonts w:eastAsia="Times New Roman"/>
                      <w:lang w:eastAsia="sk-SK"/>
                    </w:rPr>
                    <w:t>Diagnostická zdravotnícka pomôcka in vitro:</w:t>
                  </w:r>
                </w:p>
                <w:p w:rsidR="00B309F0" w:rsidRPr="00B309F0" w:rsidRDefault="00B309F0" w:rsidP="00B309F0">
                  <w:pPr>
                    <w:autoSpaceDE w:val="0"/>
                    <w:autoSpaceDN w:val="0"/>
                    <w:adjustRightInd w:val="0"/>
                    <w:spacing w:line="276" w:lineRule="auto"/>
                    <w:contextualSpacing/>
                    <w:jc w:val="both"/>
                    <w:rPr>
                      <w:rFonts w:eastAsia="Times New Roman"/>
                      <w:lang w:eastAsia="cs-CZ"/>
                    </w:rPr>
                  </w:pPr>
                </w:p>
                <w:p w:rsidR="00B309F0" w:rsidRPr="00B309F0" w:rsidRDefault="00B309F0" w:rsidP="00B309F0">
                  <w:pPr>
                    <w:autoSpaceDE w:val="0"/>
                    <w:autoSpaceDN w:val="0"/>
                    <w:adjustRightInd w:val="0"/>
                    <w:spacing w:line="276" w:lineRule="auto"/>
                    <w:contextualSpacing/>
                    <w:jc w:val="both"/>
                    <w:rPr>
                      <w:rFonts w:eastAsia="Times New Roman"/>
                      <w:lang w:eastAsia="cs-CZ"/>
                    </w:rPr>
                  </w:pPr>
                  <w:r w:rsidRPr="00B309F0">
                    <w:rPr>
                      <w:rFonts w:ascii="Segoe UI Symbol" w:eastAsia="Times New Roman" w:hAnsi="Segoe UI Symbol" w:cs="Segoe UI Symbol"/>
                      <w:lang w:eastAsia="cs-CZ"/>
                    </w:rPr>
                    <w:t>☐</w:t>
                  </w:r>
                  <w:r w:rsidRPr="00B309F0">
                    <w:rPr>
                      <w:rFonts w:eastAsia="Times New Roman"/>
                      <w:lang w:eastAsia="cs-CZ"/>
                    </w:rPr>
                    <w:t xml:space="preserve"> triedy A</w:t>
                  </w:r>
                </w:p>
                <w:p w:rsidR="00B309F0" w:rsidRPr="00B309F0" w:rsidRDefault="00B309F0" w:rsidP="00B309F0">
                  <w:pPr>
                    <w:autoSpaceDE w:val="0"/>
                    <w:autoSpaceDN w:val="0"/>
                    <w:adjustRightInd w:val="0"/>
                    <w:spacing w:line="276" w:lineRule="auto"/>
                    <w:contextualSpacing/>
                    <w:jc w:val="both"/>
                    <w:rPr>
                      <w:rFonts w:eastAsia="Times New Roman"/>
                      <w:lang w:eastAsia="cs-CZ"/>
                    </w:rPr>
                  </w:pPr>
                  <w:r w:rsidRPr="00B309F0">
                    <w:rPr>
                      <w:rFonts w:ascii="Segoe UI Symbol" w:eastAsia="Times New Roman" w:hAnsi="Segoe UI Symbol" w:cs="Segoe UI Symbol"/>
                      <w:lang w:eastAsia="cs-CZ"/>
                    </w:rPr>
                    <w:t>☐</w:t>
                  </w:r>
                  <w:r w:rsidRPr="00B309F0">
                    <w:rPr>
                      <w:rFonts w:eastAsia="Times New Roman"/>
                      <w:lang w:eastAsia="cs-CZ"/>
                    </w:rPr>
                    <w:t xml:space="preserve"> triedy B</w:t>
                  </w:r>
                </w:p>
                <w:p w:rsidR="00B309F0" w:rsidRPr="00B309F0" w:rsidRDefault="00B309F0" w:rsidP="00B309F0">
                  <w:pPr>
                    <w:autoSpaceDE w:val="0"/>
                    <w:autoSpaceDN w:val="0"/>
                    <w:adjustRightInd w:val="0"/>
                    <w:spacing w:line="276" w:lineRule="auto"/>
                    <w:contextualSpacing/>
                    <w:jc w:val="both"/>
                    <w:rPr>
                      <w:rFonts w:eastAsia="Times New Roman"/>
                      <w:lang w:eastAsia="cs-CZ"/>
                    </w:rPr>
                  </w:pPr>
                  <w:r w:rsidRPr="00B309F0">
                    <w:rPr>
                      <w:rFonts w:ascii="Segoe UI Symbol" w:eastAsia="Times New Roman" w:hAnsi="Segoe UI Symbol" w:cs="Segoe UI Symbol"/>
                      <w:lang w:eastAsia="cs-CZ"/>
                    </w:rPr>
                    <w:t>☐</w:t>
                  </w:r>
                  <w:r w:rsidRPr="00B309F0">
                    <w:rPr>
                      <w:rFonts w:eastAsia="Times New Roman"/>
                      <w:lang w:eastAsia="cs-CZ"/>
                    </w:rPr>
                    <w:t xml:space="preserve"> triedy C </w:t>
                  </w:r>
                </w:p>
                <w:p w:rsidR="00B309F0" w:rsidRPr="00B309F0" w:rsidRDefault="00B309F0" w:rsidP="00B309F0">
                  <w:pPr>
                    <w:autoSpaceDE w:val="0"/>
                    <w:autoSpaceDN w:val="0"/>
                    <w:adjustRightInd w:val="0"/>
                    <w:spacing w:line="276" w:lineRule="auto"/>
                    <w:contextualSpacing/>
                    <w:jc w:val="both"/>
                    <w:rPr>
                      <w:rFonts w:eastAsia="Times New Roman"/>
                      <w:lang w:eastAsia="cs-CZ"/>
                    </w:rPr>
                  </w:pPr>
                  <w:r w:rsidRPr="00B309F0">
                    <w:rPr>
                      <w:rFonts w:ascii="Segoe UI Symbol" w:eastAsia="Times New Roman" w:hAnsi="Segoe UI Symbol" w:cs="Segoe UI Symbol"/>
                      <w:lang w:eastAsia="cs-CZ"/>
                    </w:rPr>
                    <w:t>☐</w:t>
                  </w:r>
                  <w:r w:rsidRPr="00B309F0">
                    <w:rPr>
                      <w:rFonts w:eastAsia="Times New Roman"/>
                      <w:lang w:eastAsia="cs-CZ"/>
                    </w:rPr>
                    <w:t xml:space="preserve"> triedy D</w:t>
                  </w:r>
                </w:p>
                <w:p w:rsidR="00B309F0" w:rsidRPr="00B309F0" w:rsidRDefault="00B309F0" w:rsidP="00B309F0">
                  <w:pPr>
                    <w:autoSpaceDE w:val="0"/>
                    <w:autoSpaceDN w:val="0"/>
                    <w:adjustRightInd w:val="0"/>
                    <w:spacing w:line="276" w:lineRule="auto"/>
                    <w:contextualSpacing/>
                    <w:jc w:val="both"/>
                    <w:rPr>
                      <w:rFonts w:eastAsia="Times New Roman"/>
                      <w:lang w:eastAsia="cs-CZ"/>
                    </w:rPr>
                  </w:pPr>
                  <w:r w:rsidRPr="00B309F0">
                    <w:rPr>
                      <w:rFonts w:ascii="Segoe UI Symbol" w:eastAsia="Times New Roman" w:hAnsi="Segoe UI Symbol" w:cs="Segoe UI Symbol"/>
                      <w:lang w:eastAsia="cs-CZ"/>
                    </w:rPr>
                    <w:t>☐</w:t>
                  </w:r>
                  <w:r w:rsidRPr="00B309F0">
                    <w:rPr>
                      <w:rFonts w:eastAsia="Times New Roman"/>
                      <w:lang w:eastAsia="cs-CZ"/>
                    </w:rPr>
                    <w:t xml:space="preserve"> triedy As</w:t>
                  </w:r>
                </w:p>
              </w:tc>
            </w:tr>
          </w:tbl>
          <w:p w:rsidR="00B309F0" w:rsidRPr="00B309F0" w:rsidRDefault="00B309F0" w:rsidP="00B309F0">
            <w:pPr>
              <w:widowControl w:val="0"/>
              <w:overflowPunct w:val="0"/>
              <w:autoSpaceDE w:val="0"/>
              <w:autoSpaceDN w:val="0"/>
              <w:adjustRightInd w:val="0"/>
              <w:textAlignment w:val="baseline"/>
              <w:rPr>
                <w:rFonts w:eastAsia="Times New Roman"/>
                <w:lang w:eastAsia="sk-SK"/>
              </w:rPr>
            </w:pPr>
          </w:p>
        </w:tc>
      </w:tr>
      <w:tr w:rsidR="00B309F0" w:rsidRPr="00B309F0" w:rsidTr="001D38DA">
        <w:tc>
          <w:tcPr>
            <w:tcW w:w="9493" w:type="dxa"/>
            <w:gridSpan w:val="2"/>
            <w:shd w:val="clear" w:color="auto" w:fill="auto"/>
          </w:tcPr>
          <w:p w:rsidR="00B309F0" w:rsidRPr="00B309F0" w:rsidRDefault="00B309F0" w:rsidP="00B309F0">
            <w:pPr>
              <w:widowControl w:val="0"/>
              <w:overflowPunct w:val="0"/>
              <w:autoSpaceDE w:val="0"/>
              <w:autoSpaceDN w:val="0"/>
              <w:adjustRightInd w:val="0"/>
              <w:textAlignment w:val="baseline"/>
              <w:rPr>
                <w:rFonts w:eastAsia="Times New Roman"/>
                <w:lang w:eastAsia="sk-SK"/>
              </w:rPr>
            </w:pPr>
            <w:r w:rsidRPr="00B309F0">
              <w:rPr>
                <w:rFonts w:eastAsia="Times New Roman"/>
                <w:lang w:eastAsia="sk-SK"/>
              </w:rPr>
              <w:t>iii. Účel určenia zdravotníckej pomôcky/diagnostickej zdravotníckej pomôcky in vitro:</w:t>
            </w:r>
          </w:p>
          <w:p w:rsidR="00B309F0" w:rsidRPr="00B309F0" w:rsidRDefault="00B309F0" w:rsidP="00B309F0">
            <w:pPr>
              <w:widowControl w:val="0"/>
              <w:overflowPunct w:val="0"/>
              <w:autoSpaceDE w:val="0"/>
              <w:autoSpaceDN w:val="0"/>
              <w:adjustRightInd w:val="0"/>
              <w:textAlignment w:val="baseline"/>
              <w:rPr>
                <w:rFonts w:eastAsia="Times New Roman"/>
                <w:lang w:eastAsia="sk-SK"/>
              </w:rPr>
            </w:pPr>
          </w:p>
        </w:tc>
      </w:tr>
      <w:tr w:rsidR="00B309F0" w:rsidRPr="00B309F0" w:rsidTr="001D38DA">
        <w:tc>
          <w:tcPr>
            <w:tcW w:w="9493" w:type="dxa"/>
            <w:gridSpan w:val="2"/>
            <w:shd w:val="clear" w:color="auto" w:fill="auto"/>
          </w:tcPr>
          <w:p w:rsidR="00B309F0" w:rsidRPr="00B309F0" w:rsidRDefault="00B309F0" w:rsidP="00B309F0">
            <w:pPr>
              <w:widowControl w:val="0"/>
              <w:overflowPunct w:val="0"/>
              <w:autoSpaceDE w:val="0"/>
              <w:autoSpaceDN w:val="0"/>
              <w:adjustRightInd w:val="0"/>
              <w:textAlignment w:val="baseline"/>
              <w:rPr>
                <w:rFonts w:eastAsia="Times New Roman"/>
                <w:lang w:eastAsia="sk-SK"/>
              </w:rPr>
            </w:pPr>
            <w:r w:rsidRPr="00B309F0">
              <w:rPr>
                <w:rFonts w:eastAsia="Times New Roman"/>
                <w:lang w:eastAsia="sk-SK"/>
              </w:rPr>
              <w:t>iv. Kópia ES vyhlásenia o zhode:</w:t>
            </w:r>
          </w:p>
          <w:p w:rsidR="00B309F0" w:rsidRPr="00B309F0" w:rsidRDefault="00B309F0" w:rsidP="00B309F0">
            <w:pPr>
              <w:widowControl w:val="0"/>
              <w:overflowPunct w:val="0"/>
              <w:autoSpaceDE w:val="0"/>
              <w:autoSpaceDN w:val="0"/>
              <w:adjustRightInd w:val="0"/>
              <w:textAlignment w:val="baseline"/>
              <w:rPr>
                <w:rFonts w:eastAsia="Times New Roman"/>
                <w:lang w:eastAsia="sk-SK"/>
              </w:rPr>
            </w:pPr>
          </w:p>
        </w:tc>
      </w:tr>
      <w:tr w:rsidR="00B309F0" w:rsidRPr="00B309F0" w:rsidTr="001D38DA">
        <w:tc>
          <w:tcPr>
            <w:tcW w:w="9493" w:type="dxa"/>
            <w:gridSpan w:val="2"/>
            <w:shd w:val="clear" w:color="auto" w:fill="auto"/>
          </w:tcPr>
          <w:p w:rsidR="00B309F0" w:rsidRPr="00B309F0" w:rsidRDefault="00B309F0" w:rsidP="00B309F0">
            <w:pPr>
              <w:widowControl w:val="0"/>
              <w:tabs>
                <w:tab w:val="left" w:pos="567"/>
                <w:tab w:val="left" w:pos="2268"/>
                <w:tab w:val="right" w:pos="9356"/>
              </w:tabs>
              <w:spacing w:before="120" w:after="120"/>
              <w:jc w:val="both"/>
              <w:rPr>
                <w:rFonts w:eastAsia="Times New Roman"/>
                <w:lang w:eastAsia="sk-SK"/>
              </w:rPr>
            </w:pPr>
            <w:r w:rsidRPr="00B309F0">
              <w:rPr>
                <w:rFonts w:eastAsia="Times New Roman"/>
                <w:lang w:eastAsia="sk-SK"/>
              </w:rPr>
              <w:t>v. Informácie o notifikovanej osobe, ktorá vykonala posudzovanie zhody zdravotníckej pomôcky/diagnostickej zdravotníckej pomôcky in vitro podľa smernice 93/42/EHS, smernice 90/385/EHS alebo smernice 98/79/ES (ďalej len „pôvodná notifikovaná osoba“) a jej číslo:</w:t>
            </w:r>
          </w:p>
          <w:p w:rsidR="00B309F0" w:rsidRPr="00B309F0" w:rsidRDefault="00B309F0" w:rsidP="00B309F0">
            <w:pPr>
              <w:widowControl w:val="0"/>
              <w:tabs>
                <w:tab w:val="left" w:pos="567"/>
                <w:tab w:val="left" w:pos="2268"/>
                <w:tab w:val="right" w:pos="9356"/>
              </w:tabs>
              <w:spacing w:before="120" w:after="120"/>
              <w:jc w:val="both"/>
              <w:rPr>
                <w:rFonts w:eastAsia="Times New Roman"/>
                <w:lang w:eastAsia="sk-SK"/>
              </w:rPr>
            </w:pPr>
          </w:p>
        </w:tc>
      </w:tr>
      <w:tr w:rsidR="00B309F0" w:rsidRPr="00B309F0" w:rsidTr="001D38DA">
        <w:tc>
          <w:tcPr>
            <w:tcW w:w="9493" w:type="dxa"/>
            <w:gridSpan w:val="2"/>
            <w:shd w:val="clear" w:color="auto" w:fill="auto"/>
          </w:tcPr>
          <w:p w:rsidR="00B309F0" w:rsidRPr="00B309F0" w:rsidRDefault="00B309F0" w:rsidP="00B309F0">
            <w:pPr>
              <w:widowControl w:val="0"/>
              <w:tabs>
                <w:tab w:val="left" w:pos="567"/>
                <w:tab w:val="left" w:pos="2268"/>
                <w:tab w:val="right" w:pos="9356"/>
              </w:tabs>
              <w:spacing w:before="120" w:after="120"/>
              <w:jc w:val="both"/>
              <w:rPr>
                <w:rFonts w:eastAsia="Times New Roman"/>
                <w:lang w:eastAsia="sk-SK"/>
              </w:rPr>
            </w:pPr>
            <w:r w:rsidRPr="00B309F0">
              <w:rPr>
                <w:rFonts w:eastAsia="Times New Roman"/>
                <w:lang w:eastAsia="sk-SK"/>
              </w:rPr>
              <w:t>vi. Kópia výstupného dokumentu posudzovania zhody vydaného pôvodnou notifikovanou osobou (číslo certifikátu, dátum vydania, platnosť):</w:t>
            </w:r>
          </w:p>
          <w:p w:rsidR="00B309F0" w:rsidRPr="00B309F0" w:rsidRDefault="00B309F0" w:rsidP="00B309F0">
            <w:pPr>
              <w:widowControl w:val="0"/>
              <w:tabs>
                <w:tab w:val="left" w:pos="567"/>
                <w:tab w:val="left" w:pos="2268"/>
                <w:tab w:val="right" w:pos="9356"/>
              </w:tabs>
              <w:spacing w:before="120" w:after="120"/>
              <w:jc w:val="both"/>
              <w:rPr>
                <w:rFonts w:eastAsia="Times New Roman"/>
                <w:lang w:eastAsia="sk-SK"/>
              </w:rPr>
            </w:pPr>
          </w:p>
        </w:tc>
      </w:tr>
      <w:tr w:rsidR="00B309F0" w:rsidRPr="00B309F0" w:rsidTr="001D38DA">
        <w:tc>
          <w:tcPr>
            <w:tcW w:w="9493" w:type="dxa"/>
            <w:gridSpan w:val="2"/>
            <w:shd w:val="clear" w:color="auto" w:fill="auto"/>
          </w:tcPr>
          <w:p w:rsidR="00B309F0" w:rsidRPr="00B309F0" w:rsidRDefault="00B309F0" w:rsidP="00B309F0">
            <w:pPr>
              <w:widowControl w:val="0"/>
              <w:tabs>
                <w:tab w:val="left" w:pos="567"/>
                <w:tab w:val="left" w:pos="2268"/>
                <w:tab w:val="right" w:pos="9356"/>
              </w:tabs>
              <w:spacing w:before="120" w:after="120"/>
              <w:jc w:val="both"/>
              <w:rPr>
                <w:rFonts w:eastAsia="Times New Roman"/>
                <w:lang w:eastAsia="sk-SK"/>
              </w:rPr>
            </w:pPr>
            <w:r w:rsidRPr="00B309F0">
              <w:rPr>
                <w:rFonts w:eastAsia="Times New Roman"/>
                <w:lang w:eastAsia="sk-SK"/>
              </w:rPr>
              <w:t>vii. Použitý postup posudzovania zhody:</w:t>
            </w:r>
          </w:p>
          <w:p w:rsidR="00B309F0" w:rsidRPr="00B309F0" w:rsidRDefault="00B309F0" w:rsidP="00B309F0">
            <w:pPr>
              <w:widowControl w:val="0"/>
              <w:tabs>
                <w:tab w:val="left" w:pos="567"/>
                <w:tab w:val="left" w:pos="2268"/>
                <w:tab w:val="right" w:pos="9356"/>
              </w:tabs>
              <w:spacing w:before="120" w:after="120"/>
              <w:jc w:val="both"/>
              <w:rPr>
                <w:rFonts w:eastAsia="Times New Roman"/>
                <w:lang w:eastAsia="sk-SK"/>
              </w:rPr>
            </w:pPr>
          </w:p>
        </w:tc>
      </w:tr>
      <w:tr w:rsidR="00B309F0" w:rsidRPr="00B309F0" w:rsidTr="001D38DA">
        <w:tc>
          <w:tcPr>
            <w:tcW w:w="9493" w:type="dxa"/>
            <w:gridSpan w:val="2"/>
            <w:shd w:val="clear" w:color="auto" w:fill="auto"/>
          </w:tcPr>
          <w:p w:rsidR="00B309F0" w:rsidRPr="00B309F0" w:rsidRDefault="00B309F0" w:rsidP="00B309F0">
            <w:pPr>
              <w:widowControl w:val="0"/>
              <w:tabs>
                <w:tab w:val="left" w:pos="567"/>
                <w:tab w:val="left" w:pos="2268"/>
                <w:tab w:val="right" w:pos="9356"/>
              </w:tabs>
              <w:spacing w:before="120" w:after="120"/>
              <w:jc w:val="both"/>
              <w:rPr>
                <w:rFonts w:eastAsia="Times New Roman"/>
                <w:lang w:eastAsia="sk-SK"/>
              </w:rPr>
            </w:pPr>
            <w:r w:rsidRPr="00B309F0">
              <w:rPr>
                <w:rFonts w:eastAsia="Times New Roman"/>
                <w:lang w:eastAsia="sk-SK"/>
              </w:rPr>
              <w:t xml:space="preserve">viii. Číslo notifikovanej osoby, ktorej bola podaná žiadosť o posudzovanie zhody </w:t>
            </w:r>
            <w:r w:rsidRPr="00B309F0">
              <w:rPr>
                <w:rFonts w:eastAsia="Times New Roman"/>
                <w:lang w:eastAsia="sk-SK"/>
              </w:rPr>
              <w:br/>
              <w:t>podľa nariadenia (EÚ) 2017/745 alebo nariadenia (EÚ) 2017/746 (ďalej len „nová notifikovaná osoba“), ktorá môže byť súčasne aj pôvodnou notifikovanou osobou:</w:t>
            </w:r>
          </w:p>
          <w:p w:rsidR="00B309F0" w:rsidRPr="00B309F0" w:rsidRDefault="00B309F0" w:rsidP="00B309F0">
            <w:pPr>
              <w:widowControl w:val="0"/>
              <w:tabs>
                <w:tab w:val="left" w:pos="567"/>
                <w:tab w:val="left" w:pos="2268"/>
                <w:tab w:val="right" w:pos="9356"/>
              </w:tabs>
              <w:spacing w:before="120" w:after="120"/>
              <w:jc w:val="both"/>
              <w:rPr>
                <w:rFonts w:eastAsia="Times New Roman"/>
                <w:lang w:eastAsia="sk-SK"/>
              </w:rPr>
            </w:pPr>
          </w:p>
        </w:tc>
      </w:tr>
      <w:tr w:rsidR="00B309F0" w:rsidRPr="00B309F0" w:rsidTr="001D38DA">
        <w:tc>
          <w:tcPr>
            <w:tcW w:w="9493" w:type="dxa"/>
            <w:gridSpan w:val="2"/>
            <w:shd w:val="clear" w:color="auto" w:fill="auto"/>
          </w:tcPr>
          <w:p w:rsidR="00B309F0" w:rsidRPr="00B309F0" w:rsidRDefault="00B309F0" w:rsidP="00B309F0">
            <w:pPr>
              <w:widowControl w:val="0"/>
              <w:tabs>
                <w:tab w:val="left" w:pos="1515"/>
              </w:tabs>
              <w:spacing w:before="120" w:after="120"/>
              <w:jc w:val="both"/>
              <w:rPr>
                <w:rFonts w:eastAsia="Times New Roman"/>
                <w:lang w:eastAsia="sk-SK"/>
              </w:rPr>
            </w:pPr>
            <w:r w:rsidRPr="00B309F0">
              <w:rPr>
                <w:rFonts w:eastAsia="Times New Roman"/>
                <w:lang w:eastAsia="sk-SK"/>
              </w:rPr>
              <w:t>ix. Dôkaz o akceptovaní žiadosti o posudzovanie zhody novou notifikovanou osobou a dátum akceptovania žiadosti o posudzovanie zhody novou notifikovanou osobou:</w:t>
            </w:r>
          </w:p>
          <w:p w:rsidR="00B309F0" w:rsidRPr="00B309F0" w:rsidRDefault="00B309F0" w:rsidP="00B309F0">
            <w:pPr>
              <w:widowControl w:val="0"/>
              <w:tabs>
                <w:tab w:val="left" w:pos="1515"/>
              </w:tabs>
              <w:spacing w:before="120" w:after="120"/>
              <w:jc w:val="both"/>
              <w:rPr>
                <w:rFonts w:eastAsia="Times New Roman"/>
                <w:lang w:eastAsia="sk-SK"/>
              </w:rPr>
            </w:pPr>
          </w:p>
        </w:tc>
      </w:tr>
      <w:tr w:rsidR="00B309F0" w:rsidRPr="00B309F0" w:rsidTr="001D38DA">
        <w:tc>
          <w:tcPr>
            <w:tcW w:w="9493" w:type="dxa"/>
            <w:gridSpan w:val="2"/>
            <w:shd w:val="clear" w:color="auto" w:fill="auto"/>
          </w:tcPr>
          <w:p w:rsidR="00B309F0" w:rsidRPr="00B309F0" w:rsidRDefault="00B309F0" w:rsidP="00B309F0">
            <w:pPr>
              <w:widowControl w:val="0"/>
              <w:tabs>
                <w:tab w:val="left" w:pos="1515"/>
              </w:tabs>
              <w:spacing w:before="120" w:after="120"/>
              <w:jc w:val="both"/>
              <w:rPr>
                <w:rFonts w:eastAsia="Times New Roman"/>
                <w:lang w:eastAsia="sk-SK"/>
              </w:rPr>
            </w:pPr>
            <w:r w:rsidRPr="00B309F0">
              <w:rPr>
                <w:rFonts w:eastAsia="Times New Roman"/>
                <w:lang w:eastAsia="sk-SK"/>
              </w:rPr>
              <w:t xml:space="preserve">x. Informácia o registrácii zdravotníckej pomôcky/diagnostickej zdravotníckej pomôcky in vitro </w:t>
            </w:r>
            <w:r w:rsidRPr="00B309F0">
              <w:rPr>
                <w:rFonts w:eastAsia="Times New Roman"/>
                <w:lang w:eastAsia="sk-SK"/>
              </w:rPr>
              <w:br/>
              <w:t>v databáze zdravotníckych pomôcok spravovanej ŠÚKL:</w:t>
            </w:r>
          </w:p>
          <w:p w:rsidR="00B309F0" w:rsidRPr="00B309F0" w:rsidRDefault="00B309F0" w:rsidP="00B309F0">
            <w:pPr>
              <w:widowControl w:val="0"/>
              <w:tabs>
                <w:tab w:val="left" w:pos="1515"/>
              </w:tabs>
              <w:spacing w:before="120" w:after="120"/>
              <w:jc w:val="both"/>
              <w:rPr>
                <w:rFonts w:eastAsia="Times New Roman"/>
                <w:lang w:eastAsia="sk-SK"/>
              </w:rPr>
            </w:pPr>
          </w:p>
          <w:p w:rsidR="00B309F0" w:rsidRPr="00B309F0" w:rsidRDefault="00B309F0" w:rsidP="00B309F0">
            <w:pPr>
              <w:widowControl w:val="0"/>
              <w:tabs>
                <w:tab w:val="left" w:pos="1515"/>
              </w:tabs>
              <w:spacing w:before="120" w:after="120"/>
              <w:jc w:val="both"/>
              <w:rPr>
                <w:rFonts w:eastAsia="Times New Roman"/>
                <w:lang w:eastAsia="sk-SK"/>
              </w:rPr>
            </w:pPr>
          </w:p>
          <w:p w:rsidR="00B309F0" w:rsidRPr="00B309F0" w:rsidRDefault="00B309F0" w:rsidP="00B309F0">
            <w:pPr>
              <w:widowControl w:val="0"/>
              <w:tabs>
                <w:tab w:val="left" w:pos="1515"/>
              </w:tabs>
              <w:spacing w:before="120" w:after="120"/>
              <w:jc w:val="both"/>
              <w:rPr>
                <w:rFonts w:eastAsia="Times New Roman"/>
                <w:lang w:eastAsia="sk-SK"/>
              </w:rPr>
            </w:pPr>
          </w:p>
        </w:tc>
      </w:tr>
      <w:tr w:rsidR="00B309F0" w:rsidRPr="00B309F0" w:rsidTr="001D38DA">
        <w:tc>
          <w:tcPr>
            <w:tcW w:w="9493" w:type="dxa"/>
            <w:gridSpan w:val="2"/>
            <w:shd w:val="clear" w:color="auto" w:fill="auto"/>
          </w:tcPr>
          <w:p w:rsidR="00B309F0" w:rsidRPr="00B309F0" w:rsidRDefault="00B309F0" w:rsidP="00B309F0">
            <w:pPr>
              <w:widowControl w:val="0"/>
              <w:tabs>
                <w:tab w:val="left" w:pos="567"/>
                <w:tab w:val="left" w:pos="2268"/>
                <w:tab w:val="right" w:pos="9356"/>
              </w:tabs>
              <w:spacing w:before="120" w:after="120"/>
              <w:jc w:val="both"/>
              <w:rPr>
                <w:rFonts w:eastAsia="Times New Roman"/>
                <w:lang w:eastAsia="sk-SK"/>
              </w:rPr>
            </w:pPr>
            <w:r w:rsidRPr="00B309F0">
              <w:rPr>
                <w:rFonts w:eastAsia="Times New Roman"/>
                <w:lang w:eastAsia="sk-SK"/>
              </w:rPr>
              <w:t xml:space="preserve">xi. Sprievodná dokumentácia k zdravotníckej pomôcke/diagnostickej zdravotníckej pomôcke </w:t>
            </w:r>
            <w:r w:rsidRPr="00B309F0">
              <w:rPr>
                <w:rFonts w:eastAsia="Times New Roman"/>
                <w:lang w:eastAsia="sk-SK"/>
              </w:rPr>
              <w:br/>
              <w:t xml:space="preserve">in vitro: </w:t>
            </w:r>
          </w:p>
          <w:p w:rsidR="00B309F0" w:rsidRPr="00B309F0" w:rsidRDefault="00B309F0" w:rsidP="00B309F0">
            <w:pPr>
              <w:widowControl w:val="0"/>
              <w:numPr>
                <w:ilvl w:val="0"/>
                <w:numId w:val="2"/>
              </w:numPr>
              <w:tabs>
                <w:tab w:val="left" w:pos="567"/>
                <w:tab w:val="left" w:pos="2268"/>
                <w:tab w:val="right" w:pos="9356"/>
              </w:tabs>
              <w:spacing w:before="120" w:after="120"/>
              <w:contextualSpacing/>
              <w:jc w:val="both"/>
              <w:rPr>
                <w:rFonts w:eastAsia="Times New Roman"/>
                <w:lang w:eastAsia="sk-SK"/>
              </w:rPr>
            </w:pPr>
            <w:r w:rsidRPr="00B309F0">
              <w:rPr>
                <w:rFonts w:eastAsia="Times New Roman"/>
                <w:lang w:eastAsia="sk-SK"/>
              </w:rPr>
              <w:t xml:space="preserve">návod na použitie a bezpečnostné pokyny </w:t>
            </w:r>
          </w:p>
          <w:p w:rsidR="00B309F0" w:rsidRPr="00B309F0" w:rsidRDefault="00B309F0" w:rsidP="00B309F0">
            <w:pPr>
              <w:widowControl w:val="0"/>
              <w:tabs>
                <w:tab w:val="left" w:pos="567"/>
                <w:tab w:val="left" w:pos="2268"/>
                <w:tab w:val="right" w:pos="9356"/>
              </w:tabs>
              <w:spacing w:before="120" w:after="120"/>
              <w:ind w:left="720"/>
              <w:contextualSpacing/>
              <w:jc w:val="both"/>
              <w:rPr>
                <w:rFonts w:eastAsia="Times New Roman"/>
                <w:lang w:eastAsia="sk-SK"/>
              </w:rPr>
            </w:pPr>
          </w:p>
          <w:p w:rsidR="00B309F0" w:rsidRPr="00B309F0" w:rsidRDefault="00B309F0" w:rsidP="00B309F0">
            <w:pPr>
              <w:widowControl w:val="0"/>
              <w:numPr>
                <w:ilvl w:val="0"/>
                <w:numId w:val="3"/>
              </w:numPr>
              <w:tabs>
                <w:tab w:val="left" w:pos="567"/>
                <w:tab w:val="left" w:pos="2268"/>
                <w:tab w:val="right" w:pos="9356"/>
              </w:tabs>
              <w:spacing w:before="120" w:after="120"/>
              <w:contextualSpacing/>
              <w:jc w:val="both"/>
              <w:rPr>
                <w:rFonts w:eastAsia="Times New Roman"/>
                <w:lang w:eastAsia="sk-SK"/>
              </w:rPr>
            </w:pPr>
            <w:r w:rsidRPr="00B309F0">
              <w:rPr>
                <w:rFonts w:eastAsia="Times New Roman"/>
                <w:lang w:eastAsia="sk-SK"/>
              </w:rPr>
              <w:t>štítok zdravotníckej pomôcky/diagnostickej zdravotníckej pomôcky in vitro:</w:t>
            </w:r>
          </w:p>
          <w:p w:rsidR="00B309F0" w:rsidRPr="00B309F0" w:rsidRDefault="00B309F0" w:rsidP="00B309F0">
            <w:pPr>
              <w:widowControl w:val="0"/>
              <w:tabs>
                <w:tab w:val="left" w:pos="567"/>
                <w:tab w:val="left" w:pos="2268"/>
                <w:tab w:val="right" w:pos="9356"/>
              </w:tabs>
              <w:spacing w:before="120" w:after="120"/>
              <w:ind w:left="360"/>
              <w:jc w:val="both"/>
              <w:rPr>
                <w:rFonts w:eastAsia="Times New Roman"/>
                <w:lang w:eastAsia="sk-SK"/>
              </w:rPr>
            </w:pPr>
          </w:p>
        </w:tc>
      </w:tr>
      <w:tr w:rsidR="00B309F0" w:rsidRPr="00B309F0" w:rsidTr="001D38DA">
        <w:tc>
          <w:tcPr>
            <w:tcW w:w="9493" w:type="dxa"/>
            <w:gridSpan w:val="2"/>
            <w:shd w:val="clear" w:color="auto" w:fill="auto"/>
          </w:tcPr>
          <w:p w:rsidR="00B309F0" w:rsidRPr="00B309F0" w:rsidRDefault="00B309F0" w:rsidP="00B309F0">
            <w:pPr>
              <w:widowControl w:val="0"/>
              <w:tabs>
                <w:tab w:val="left" w:pos="567"/>
                <w:tab w:val="left" w:pos="2268"/>
                <w:tab w:val="right" w:pos="9356"/>
              </w:tabs>
              <w:spacing w:before="120" w:after="120"/>
              <w:jc w:val="both"/>
              <w:rPr>
                <w:rFonts w:eastAsia="Times New Roman"/>
                <w:lang w:eastAsia="sk-SK"/>
              </w:rPr>
            </w:pPr>
            <w:r w:rsidRPr="00B309F0">
              <w:rPr>
                <w:rFonts w:eastAsia="Times New Roman"/>
                <w:lang w:eastAsia="sk-SK"/>
              </w:rPr>
              <w:t>xii. Nehody, poruchy a zlyhania – vigilancia zdravotníckych pomôcok/diagnostických zdravotníckych pomôcok in vitro – záznamy:</w:t>
            </w:r>
          </w:p>
          <w:p w:rsidR="00B309F0" w:rsidRPr="00B309F0" w:rsidRDefault="00B309F0" w:rsidP="00B309F0">
            <w:pPr>
              <w:widowControl w:val="0"/>
              <w:tabs>
                <w:tab w:val="left" w:pos="567"/>
                <w:tab w:val="left" w:pos="2268"/>
                <w:tab w:val="right" w:pos="9356"/>
              </w:tabs>
              <w:spacing w:before="120" w:after="120"/>
              <w:jc w:val="both"/>
              <w:rPr>
                <w:rFonts w:eastAsia="Times New Roman"/>
                <w:lang w:eastAsia="sk-SK"/>
              </w:rPr>
            </w:pPr>
          </w:p>
        </w:tc>
      </w:tr>
      <w:tr w:rsidR="00B309F0" w:rsidRPr="00B309F0" w:rsidTr="001D38DA">
        <w:tc>
          <w:tcPr>
            <w:tcW w:w="9493" w:type="dxa"/>
            <w:gridSpan w:val="2"/>
            <w:shd w:val="clear" w:color="auto" w:fill="auto"/>
          </w:tcPr>
          <w:p w:rsidR="00B309F0" w:rsidRPr="00B309F0" w:rsidRDefault="00B309F0" w:rsidP="00B309F0">
            <w:pPr>
              <w:widowControl w:val="0"/>
              <w:tabs>
                <w:tab w:val="left" w:pos="567"/>
                <w:tab w:val="left" w:pos="2268"/>
                <w:tab w:val="right" w:pos="9356"/>
              </w:tabs>
              <w:spacing w:before="120" w:after="120"/>
              <w:jc w:val="both"/>
              <w:rPr>
                <w:rFonts w:eastAsia="Times New Roman"/>
                <w:lang w:eastAsia="sk-SK"/>
              </w:rPr>
            </w:pPr>
            <w:r w:rsidRPr="00B309F0">
              <w:rPr>
                <w:rFonts w:eastAsia="Times New Roman"/>
                <w:lang w:eastAsia="sk-SK"/>
              </w:rPr>
              <w:t>xiii. Post Market Surveillance (popredajné sledovanie) a Post Market Clinical Follow-up (popredajné sledovanie klinických údajov) – správy:</w:t>
            </w:r>
          </w:p>
          <w:p w:rsidR="00B309F0" w:rsidRPr="00B309F0" w:rsidRDefault="00B309F0" w:rsidP="00B309F0">
            <w:pPr>
              <w:widowControl w:val="0"/>
              <w:tabs>
                <w:tab w:val="left" w:pos="567"/>
                <w:tab w:val="left" w:pos="2268"/>
                <w:tab w:val="right" w:pos="9356"/>
              </w:tabs>
              <w:spacing w:before="120" w:after="120"/>
              <w:jc w:val="both"/>
              <w:rPr>
                <w:rFonts w:eastAsia="Times New Roman"/>
                <w:lang w:eastAsia="sk-SK"/>
              </w:rPr>
            </w:pPr>
          </w:p>
        </w:tc>
      </w:tr>
      <w:tr w:rsidR="00B309F0" w:rsidRPr="00B309F0" w:rsidTr="001D38DA">
        <w:tc>
          <w:tcPr>
            <w:tcW w:w="9493" w:type="dxa"/>
            <w:gridSpan w:val="2"/>
            <w:shd w:val="clear" w:color="auto" w:fill="auto"/>
          </w:tcPr>
          <w:p w:rsidR="00B309F0" w:rsidRPr="00B309F0" w:rsidRDefault="00B309F0" w:rsidP="00B309F0">
            <w:pPr>
              <w:widowControl w:val="0"/>
              <w:numPr>
                <w:ilvl w:val="0"/>
                <w:numId w:val="1"/>
              </w:numPr>
              <w:overflowPunct w:val="0"/>
              <w:autoSpaceDE w:val="0"/>
              <w:autoSpaceDN w:val="0"/>
              <w:adjustRightInd w:val="0"/>
              <w:textAlignment w:val="baseline"/>
              <w:rPr>
                <w:rFonts w:eastAsia="Times New Roman"/>
                <w:b/>
                <w:lang w:eastAsia="sk-SK"/>
              </w:rPr>
            </w:pPr>
            <w:r w:rsidRPr="00B309F0">
              <w:rPr>
                <w:rFonts w:eastAsia="Times New Roman"/>
                <w:b/>
                <w:lang w:eastAsia="sk-SK"/>
              </w:rPr>
              <w:t>Ďalšie informácie:</w:t>
            </w:r>
          </w:p>
        </w:tc>
      </w:tr>
      <w:tr w:rsidR="00B309F0" w:rsidRPr="00B309F0" w:rsidTr="001D38DA">
        <w:tc>
          <w:tcPr>
            <w:tcW w:w="9493" w:type="dxa"/>
            <w:gridSpan w:val="2"/>
            <w:shd w:val="clear" w:color="auto" w:fill="auto"/>
          </w:tcPr>
          <w:p w:rsidR="00B309F0" w:rsidRPr="00B309F0" w:rsidRDefault="00B309F0" w:rsidP="00B309F0">
            <w:pPr>
              <w:widowControl w:val="0"/>
              <w:tabs>
                <w:tab w:val="left" w:pos="567"/>
                <w:tab w:val="left" w:pos="2268"/>
                <w:tab w:val="right" w:pos="9356"/>
              </w:tabs>
              <w:spacing w:before="120" w:after="120"/>
              <w:jc w:val="both"/>
              <w:rPr>
                <w:rFonts w:eastAsia="Times New Roman"/>
                <w:lang w:eastAsia="sk-SK"/>
              </w:rPr>
            </w:pPr>
            <w:r w:rsidRPr="00B309F0">
              <w:rPr>
                <w:rFonts w:eastAsia="Times New Roman"/>
                <w:lang w:eastAsia="sk-SK"/>
              </w:rPr>
              <w:t>Informácie o subjektoch, ktoré budú odberateľmi alebo používateľmi zdravotníckej pomôcky/diagnostickej zdravotníckej pomôcky in vitro, pre ktorú sa žiada o udelenie výnimky:</w:t>
            </w:r>
          </w:p>
          <w:p w:rsidR="00B309F0" w:rsidRPr="00B309F0" w:rsidRDefault="00B309F0" w:rsidP="00B309F0">
            <w:pPr>
              <w:widowControl w:val="0"/>
              <w:tabs>
                <w:tab w:val="left" w:pos="567"/>
                <w:tab w:val="left" w:pos="2268"/>
                <w:tab w:val="right" w:pos="9356"/>
              </w:tabs>
              <w:spacing w:before="120" w:after="120"/>
              <w:ind w:left="1710"/>
              <w:contextualSpacing/>
              <w:jc w:val="both"/>
              <w:rPr>
                <w:rFonts w:eastAsia="Times New Roman"/>
                <w:lang w:eastAsia="sk-SK"/>
              </w:rPr>
            </w:pPr>
          </w:p>
        </w:tc>
      </w:tr>
      <w:tr w:rsidR="00B309F0" w:rsidRPr="00B309F0" w:rsidTr="001D38DA">
        <w:trPr>
          <w:trHeight w:val="606"/>
        </w:trPr>
        <w:tc>
          <w:tcPr>
            <w:tcW w:w="9493" w:type="dxa"/>
            <w:gridSpan w:val="2"/>
            <w:shd w:val="clear" w:color="auto" w:fill="auto"/>
          </w:tcPr>
          <w:p w:rsidR="00B309F0" w:rsidRPr="00B309F0" w:rsidRDefault="00B309F0" w:rsidP="00B309F0">
            <w:pPr>
              <w:widowControl w:val="0"/>
              <w:overflowPunct w:val="0"/>
              <w:autoSpaceDE w:val="0"/>
              <w:autoSpaceDN w:val="0"/>
              <w:adjustRightInd w:val="0"/>
              <w:jc w:val="both"/>
              <w:textAlignment w:val="baseline"/>
              <w:rPr>
                <w:rFonts w:eastAsia="Times New Roman"/>
                <w:lang w:eastAsia="sk-SK"/>
              </w:rPr>
            </w:pPr>
            <w:r w:rsidRPr="00B309F0">
              <w:rPr>
                <w:rFonts w:eastAsia="Times New Roman"/>
                <w:lang w:eastAsia="sk-SK"/>
              </w:rPr>
              <w:t xml:space="preserve">Zdôvodnenie, prečo je potrebné udeliť výnimku týkajúce sa najmä použitia zdravotníckej pomôcky/diagnostickej zdravotníckej pomôcky in vitro, odberateľov zdravotníckej pomôcky/diagnostickej zdravotníckej pomôcky in vitro, dostupnosti inej vhodnej alternatívy zdravotníckej pomôcky/diagnostickej zdravotníckej pomôcky in vitro, ktorá by bola spôsobilá plnohodnotne nahradiť predmetnú zdravotnícku pomôcku/diagnostickú zdravotnícku pomôcku in vitro a dôkazy, že z dôvodu mimoriadnych a nepredvídateľných okolnosti výrobca nemohol riadne a včas dokončiť posudzovanie zhody aj napriek tomu, že žiadosť o posudzovanie zhody podal novej notifikovanej osobe riadne a včas. </w:t>
            </w:r>
          </w:p>
          <w:p w:rsidR="00B309F0" w:rsidRPr="00B309F0" w:rsidRDefault="00B309F0" w:rsidP="00B309F0">
            <w:pPr>
              <w:widowControl w:val="0"/>
              <w:overflowPunct w:val="0"/>
              <w:autoSpaceDE w:val="0"/>
              <w:autoSpaceDN w:val="0"/>
              <w:adjustRightInd w:val="0"/>
              <w:textAlignment w:val="baseline"/>
              <w:rPr>
                <w:rFonts w:eastAsia="Times New Roman"/>
                <w:lang w:eastAsia="sk-SK"/>
              </w:rPr>
            </w:pPr>
          </w:p>
          <w:p w:rsidR="00B309F0" w:rsidRPr="00B309F0" w:rsidRDefault="00B309F0" w:rsidP="00B309F0">
            <w:pPr>
              <w:widowControl w:val="0"/>
              <w:overflowPunct w:val="0"/>
              <w:autoSpaceDE w:val="0"/>
              <w:autoSpaceDN w:val="0"/>
              <w:adjustRightInd w:val="0"/>
              <w:textAlignment w:val="baseline"/>
              <w:rPr>
                <w:rFonts w:eastAsia="Times New Roman"/>
                <w:lang w:eastAsia="sk-SK"/>
              </w:rPr>
            </w:pPr>
          </w:p>
        </w:tc>
      </w:tr>
    </w:tbl>
    <w:p w:rsidR="00B309F0" w:rsidRPr="00B309F0" w:rsidRDefault="00B309F0" w:rsidP="00B309F0">
      <w:pPr>
        <w:overflowPunct w:val="0"/>
        <w:autoSpaceDE w:val="0"/>
        <w:autoSpaceDN w:val="0"/>
        <w:spacing w:after="120"/>
        <w:jc w:val="both"/>
        <w:textAlignment w:val="baseline"/>
        <w:rPr>
          <w:rFonts w:eastAsia="Times New Roman"/>
          <w:b/>
          <w:bCs/>
          <w:lang w:eastAsia="sk-SK"/>
        </w:rPr>
      </w:pPr>
    </w:p>
    <w:p w:rsidR="00B309F0" w:rsidRPr="00B309F0" w:rsidRDefault="00B309F0" w:rsidP="00B309F0">
      <w:pPr>
        <w:overflowPunct w:val="0"/>
        <w:autoSpaceDE w:val="0"/>
        <w:spacing w:after="120"/>
        <w:jc w:val="center"/>
        <w:rPr>
          <w:rFonts w:eastAsia="Calibri"/>
          <w:b/>
          <w:bCs/>
          <w:lang w:eastAsia="sk-SK"/>
        </w:rPr>
      </w:pPr>
      <w:r w:rsidRPr="00B309F0">
        <w:rPr>
          <w:rFonts w:eastAsia="Calibri"/>
          <w:b/>
          <w:bCs/>
          <w:lang w:eastAsia="sk-SK"/>
        </w:rPr>
        <w:t>Informácia o spracúvaní osobných údajov – uvedenie výrobku na trh bez posudzovania zhody</w:t>
      </w:r>
    </w:p>
    <w:p w:rsidR="00B309F0" w:rsidRPr="00B309F0" w:rsidRDefault="00B309F0" w:rsidP="00B309F0">
      <w:pPr>
        <w:autoSpaceDE w:val="0"/>
        <w:autoSpaceDN w:val="0"/>
        <w:jc w:val="both"/>
        <w:rPr>
          <w:rFonts w:eastAsia="Calibri"/>
          <w:color w:val="000000"/>
        </w:rPr>
      </w:pPr>
      <w:r w:rsidRPr="00B309F0">
        <w:rPr>
          <w:rFonts w:eastAsia="Calibri"/>
          <w:color w:val="000000"/>
        </w:rPr>
        <w:t xml:space="preserve">Táto informácia obsahuje informácie týkajúce sa účelu spracúvania, samotného spracúvania, poskytovania osobných údajov, príjemcov, ako aj informácie o právach dotknutých osôb v súvislosti s uvádzaním určeného výrobku na trh bez posudzovania zhody. </w:t>
      </w:r>
    </w:p>
    <w:p w:rsidR="00B309F0" w:rsidRPr="00B309F0" w:rsidRDefault="00B309F0" w:rsidP="00B309F0">
      <w:pPr>
        <w:autoSpaceDE w:val="0"/>
        <w:autoSpaceDN w:val="0"/>
        <w:jc w:val="both"/>
        <w:rPr>
          <w:rFonts w:eastAsia="Calibri"/>
          <w:color w:val="000000"/>
        </w:rPr>
      </w:pPr>
    </w:p>
    <w:p w:rsidR="00B309F0" w:rsidRPr="00B309F0" w:rsidRDefault="00B309F0" w:rsidP="00B309F0">
      <w:pPr>
        <w:autoSpaceDE w:val="0"/>
        <w:autoSpaceDN w:val="0"/>
        <w:jc w:val="both"/>
        <w:rPr>
          <w:rFonts w:eastAsia="Calibri"/>
          <w:b/>
          <w:color w:val="000000"/>
        </w:rPr>
      </w:pPr>
      <w:r w:rsidRPr="00B309F0">
        <w:rPr>
          <w:rFonts w:eastAsia="Calibri"/>
          <w:b/>
          <w:color w:val="000000"/>
        </w:rPr>
        <w:t>Prevádzkovateľ:</w:t>
      </w:r>
    </w:p>
    <w:p w:rsidR="00B309F0" w:rsidRPr="00B309F0" w:rsidRDefault="00B309F0" w:rsidP="00B309F0">
      <w:pPr>
        <w:autoSpaceDE w:val="0"/>
        <w:autoSpaceDN w:val="0"/>
        <w:jc w:val="both"/>
        <w:rPr>
          <w:rFonts w:eastAsia="Calibri"/>
          <w:color w:val="000000"/>
        </w:rPr>
      </w:pPr>
      <w:r w:rsidRPr="00B309F0">
        <w:rPr>
          <w:rFonts w:eastAsia="Calibri"/>
          <w:color w:val="000000"/>
        </w:rPr>
        <w:t>Prevádzkovateľom, ktorý spracúva osobné údaje za účelom vybavovania žiadosti, je Úrad pre normalizáciu, metrológiu a skúšobníctvo Slovenskej republiky, so sídlom Štefanovičova 3, 810 05 Bratislava 15, IČO: 30 810 710 (ďalej len ako „prevádzkovateľ“ alebo „ÚNMS SR“).</w:t>
      </w:r>
    </w:p>
    <w:p w:rsidR="00B309F0" w:rsidRPr="00B309F0" w:rsidRDefault="00B309F0" w:rsidP="00B309F0">
      <w:pPr>
        <w:autoSpaceDE w:val="0"/>
        <w:autoSpaceDN w:val="0"/>
        <w:jc w:val="both"/>
        <w:rPr>
          <w:rFonts w:eastAsia="Calibri"/>
          <w:color w:val="000000"/>
        </w:rPr>
      </w:pPr>
    </w:p>
    <w:p w:rsidR="00B309F0" w:rsidRPr="00B309F0" w:rsidRDefault="00B309F0" w:rsidP="00B309F0">
      <w:pPr>
        <w:autoSpaceDE w:val="0"/>
        <w:autoSpaceDN w:val="0"/>
        <w:jc w:val="both"/>
        <w:rPr>
          <w:rFonts w:eastAsia="Calibri"/>
          <w:b/>
          <w:color w:val="000000"/>
        </w:rPr>
      </w:pPr>
      <w:r w:rsidRPr="00B309F0">
        <w:rPr>
          <w:rFonts w:eastAsia="Calibri"/>
          <w:b/>
          <w:color w:val="000000"/>
        </w:rPr>
        <w:t>Účel spracúvania osobných údajov:</w:t>
      </w:r>
    </w:p>
    <w:p w:rsidR="00B309F0" w:rsidRPr="00B309F0" w:rsidRDefault="00B309F0" w:rsidP="00B309F0">
      <w:pPr>
        <w:autoSpaceDE w:val="0"/>
        <w:autoSpaceDN w:val="0"/>
        <w:jc w:val="both"/>
        <w:rPr>
          <w:rFonts w:eastAsia="Calibri"/>
          <w:color w:val="000000"/>
        </w:rPr>
      </w:pPr>
      <w:r w:rsidRPr="00B309F0">
        <w:rPr>
          <w:rFonts w:eastAsia="Calibri"/>
          <w:color w:val="000000"/>
        </w:rPr>
        <w:t xml:space="preserve">Účelom spracúvania osobných údajov je rozhodovanie o uvádzaní určeného výrobku na trh bez posudzovania zhody podľa zákona č. 56/2018 Z. z. posudzovaní zhody výrobku, sprístupňovaní určeného výrobku na trhu a o zmene a doplnení niektorých zákonov v znení zákona č. 259/2021 </w:t>
      </w:r>
      <w:r w:rsidRPr="00B309F0">
        <w:rPr>
          <w:rFonts w:eastAsia="Calibri"/>
          <w:color w:val="000000"/>
        </w:rPr>
        <w:br/>
        <w:t xml:space="preserve">Z. z. (ďalej len „zákon č. 56/2018 Z. z.“). </w:t>
      </w:r>
    </w:p>
    <w:p w:rsidR="00B309F0" w:rsidRPr="00B309F0" w:rsidRDefault="00B309F0" w:rsidP="00B309F0">
      <w:pPr>
        <w:autoSpaceDE w:val="0"/>
        <w:autoSpaceDN w:val="0"/>
        <w:jc w:val="both"/>
        <w:rPr>
          <w:rFonts w:eastAsia="Calibri"/>
          <w:b/>
          <w:color w:val="000000"/>
        </w:rPr>
      </w:pPr>
    </w:p>
    <w:p w:rsidR="00B309F0" w:rsidRPr="00B309F0" w:rsidRDefault="00B309F0" w:rsidP="00B309F0">
      <w:pPr>
        <w:autoSpaceDE w:val="0"/>
        <w:autoSpaceDN w:val="0"/>
        <w:jc w:val="both"/>
        <w:rPr>
          <w:rFonts w:eastAsia="Calibri"/>
          <w:b/>
          <w:color w:val="000000"/>
        </w:rPr>
      </w:pPr>
    </w:p>
    <w:p w:rsidR="00B309F0" w:rsidRPr="00B309F0" w:rsidRDefault="00B309F0" w:rsidP="00B309F0">
      <w:pPr>
        <w:autoSpaceDE w:val="0"/>
        <w:autoSpaceDN w:val="0"/>
        <w:jc w:val="both"/>
        <w:rPr>
          <w:rFonts w:eastAsia="Calibri"/>
          <w:b/>
          <w:color w:val="000000"/>
        </w:rPr>
      </w:pPr>
    </w:p>
    <w:p w:rsidR="00B309F0" w:rsidRPr="00B309F0" w:rsidRDefault="00B309F0" w:rsidP="00B309F0">
      <w:pPr>
        <w:autoSpaceDE w:val="0"/>
        <w:autoSpaceDN w:val="0"/>
        <w:jc w:val="both"/>
        <w:rPr>
          <w:rFonts w:eastAsia="Calibri"/>
          <w:b/>
          <w:color w:val="000000"/>
        </w:rPr>
      </w:pPr>
      <w:r w:rsidRPr="00B309F0">
        <w:rPr>
          <w:rFonts w:eastAsia="Calibri"/>
          <w:b/>
          <w:color w:val="000000"/>
        </w:rPr>
        <w:t>Dotknuté osoby:</w:t>
      </w:r>
    </w:p>
    <w:p w:rsidR="00B309F0" w:rsidRPr="00B309F0" w:rsidRDefault="00B309F0" w:rsidP="00B309F0">
      <w:pPr>
        <w:autoSpaceDE w:val="0"/>
        <w:autoSpaceDN w:val="0"/>
        <w:jc w:val="both"/>
        <w:rPr>
          <w:rFonts w:eastAsia="Calibri"/>
        </w:rPr>
      </w:pPr>
      <w:r w:rsidRPr="00B309F0">
        <w:rPr>
          <w:rFonts w:eastAsia="Calibri"/>
          <w:color w:val="000000"/>
        </w:rPr>
        <w:t xml:space="preserve">Dotknutými </w:t>
      </w:r>
      <w:r w:rsidRPr="00B309F0">
        <w:rPr>
          <w:rFonts w:eastAsia="Calibri"/>
        </w:rPr>
        <w:t>osobami, ktorých osobné údaje spracúva prevádzkovateľ za vyššie uvedeným účelom, sú fyzické  a právnické osoby alebo oprávnené osoby žiadateľov o udelenie výnimky.</w:t>
      </w:r>
    </w:p>
    <w:p w:rsidR="00B309F0" w:rsidRPr="00B309F0" w:rsidRDefault="00B309F0" w:rsidP="00B309F0">
      <w:pPr>
        <w:autoSpaceDE w:val="0"/>
        <w:autoSpaceDN w:val="0"/>
        <w:jc w:val="both"/>
        <w:rPr>
          <w:rFonts w:eastAsia="Calibri"/>
        </w:rPr>
      </w:pPr>
    </w:p>
    <w:p w:rsidR="00B309F0" w:rsidRPr="00B309F0" w:rsidRDefault="00B309F0" w:rsidP="00B309F0">
      <w:pPr>
        <w:autoSpaceDE w:val="0"/>
        <w:autoSpaceDN w:val="0"/>
        <w:jc w:val="both"/>
        <w:rPr>
          <w:rFonts w:eastAsia="Calibri"/>
          <w:b/>
          <w:color w:val="000000"/>
        </w:rPr>
      </w:pPr>
      <w:r w:rsidRPr="00B309F0">
        <w:rPr>
          <w:rFonts w:eastAsia="Calibri"/>
          <w:b/>
          <w:color w:val="000000"/>
        </w:rPr>
        <w:t>Právny základ spracúvania osobných údajov:</w:t>
      </w:r>
    </w:p>
    <w:p w:rsidR="00B309F0" w:rsidRPr="00B309F0" w:rsidRDefault="00B309F0" w:rsidP="00B309F0">
      <w:pPr>
        <w:autoSpaceDE w:val="0"/>
        <w:autoSpaceDN w:val="0"/>
        <w:jc w:val="both"/>
        <w:rPr>
          <w:rFonts w:eastAsia="Calibri"/>
          <w:color w:val="000000"/>
        </w:rPr>
      </w:pPr>
      <w:r w:rsidRPr="00B309F0">
        <w:rPr>
          <w:rFonts w:eastAsia="Calibri"/>
          <w:color w:val="000000"/>
        </w:rPr>
        <w:t>Právnym základom spracúvania osobných údajov dotknutých osôb je čl. 6 ods. 1 písm. e) nariadenia Európskeho parlamentu a Rady (EÚ) 2016/679 z 27. apríla 2016 o ochrane fyzických osôb pri spracúvaní osobných údajov a o voľnom pohybe takýchto údajov, ktorým sa zrušuje smernica 95/46/ES (všeobecné nariadenie o ochrane údajov) – t. j. spracúvanie je nevyhnutné na splnenie úlohy realizovanej vo verejnom záujme alebo pri výkone verejnej moci zverenej prevádzkovateľovi podľa § 4 ods. 5 zákona č. 56/2018 Z. z.</w:t>
      </w:r>
    </w:p>
    <w:p w:rsidR="00B309F0" w:rsidRPr="00B309F0" w:rsidRDefault="00B309F0" w:rsidP="00B309F0">
      <w:pPr>
        <w:autoSpaceDE w:val="0"/>
        <w:autoSpaceDN w:val="0"/>
        <w:jc w:val="both"/>
        <w:rPr>
          <w:rFonts w:eastAsia="Calibri"/>
          <w:color w:val="000000"/>
          <w:sz w:val="24"/>
          <w:szCs w:val="24"/>
        </w:rPr>
      </w:pPr>
      <w:r w:rsidRPr="00B309F0">
        <w:rPr>
          <w:rFonts w:eastAsia="Calibri"/>
          <w:color w:val="000000"/>
        </w:rPr>
        <w:t>Poskytnutie osobných údajov je zákonnou požiadavkou a ich neposkytnutie má za následok nemožnosť pokračovania v konaní o udelenie výnimky.</w:t>
      </w:r>
    </w:p>
    <w:p w:rsidR="00B309F0" w:rsidRPr="00B309F0" w:rsidRDefault="00B309F0" w:rsidP="00B309F0">
      <w:pPr>
        <w:autoSpaceDE w:val="0"/>
        <w:autoSpaceDN w:val="0"/>
        <w:jc w:val="both"/>
        <w:rPr>
          <w:rFonts w:eastAsia="Calibri"/>
          <w:b/>
          <w:color w:val="000000"/>
        </w:rPr>
      </w:pPr>
    </w:p>
    <w:p w:rsidR="00B309F0" w:rsidRPr="00B309F0" w:rsidRDefault="00B309F0" w:rsidP="00B309F0">
      <w:pPr>
        <w:autoSpaceDE w:val="0"/>
        <w:autoSpaceDN w:val="0"/>
        <w:jc w:val="both"/>
        <w:rPr>
          <w:rFonts w:eastAsia="Calibri"/>
          <w:b/>
          <w:color w:val="000000"/>
        </w:rPr>
      </w:pPr>
      <w:r w:rsidRPr="00B309F0">
        <w:rPr>
          <w:rFonts w:eastAsia="Calibri"/>
          <w:b/>
          <w:color w:val="000000"/>
        </w:rPr>
        <w:t xml:space="preserve">Použitie osobných údajov: </w:t>
      </w:r>
    </w:p>
    <w:p w:rsidR="00B309F0" w:rsidRPr="00B309F0" w:rsidRDefault="00B309F0" w:rsidP="00B309F0">
      <w:pPr>
        <w:autoSpaceDE w:val="0"/>
        <w:autoSpaceDN w:val="0"/>
        <w:jc w:val="both"/>
        <w:rPr>
          <w:rFonts w:eastAsia="Calibri"/>
          <w:color w:val="000000"/>
        </w:rPr>
      </w:pPr>
      <w:r w:rsidRPr="00B309F0">
        <w:rPr>
          <w:rFonts w:eastAsia="Times New Roman"/>
          <w:color w:val="000000"/>
        </w:rPr>
        <w:t xml:space="preserve">Osobné údaje dotknutých osôb sú použité výlučne za účelom posúdenia podania a vydania rozhodnutia o uvedení určeného výrobku na trh bez posudzovania zhody určeného výrobku </w:t>
      </w:r>
      <w:r w:rsidRPr="00B309F0">
        <w:rPr>
          <w:rFonts w:eastAsia="Times New Roman"/>
          <w:color w:val="000000"/>
        </w:rPr>
        <w:br/>
        <w:t xml:space="preserve">podľa § 22 zákona o zhode na základe § 4 ods. 5 zákona č. 56/2018 Z. z.  Prevádzkovateľ spracúva len bežné osobné údaje dotknutých osôb. Prístup k osobným údajom dotknutých osôb majú u Prevádzkovateľa len oprávnené osoby prevádzkovateľa, ktoré sú poučené o ich právach a povinnostiach, ako postupovať pri spracúvaní osobných údajov v súlade s právnymi predpismi týkajúcimi sa ochrany osobných údajov. </w:t>
      </w:r>
    </w:p>
    <w:p w:rsidR="00B309F0" w:rsidRPr="00B309F0" w:rsidRDefault="00B309F0" w:rsidP="00B309F0">
      <w:pPr>
        <w:autoSpaceDE w:val="0"/>
        <w:autoSpaceDN w:val="0"/>
        <w:jc w:val="both"/>
        <w:rPr>
          <w:rFonts w:eastAsia="Times New Roman"/>
          <w:color w:val="000000"/>
        </w:rPr>
      </w:pPr>
    </w:p>
    <w:p w:rsidR="00B309F0" w:rsidRPr="00B309F0" w:rsidRDefault="00B309F0" w:rsidP="00B309F0">
      <w:pPr>
        <w:jc w:val="both"/>
        <w:rPr>
          <w:rFonts w:eastAsia="Calibri"/>
        </w:rPr>
      </w:pPr>
      <w:r w:rsidRPr="00B309F0">
        <w:rPr>
          <w:rFonts w:eastAsia="Calibri"/>
          <w:color w:val="000000"/>
        </w:rPr>
        <w:t xml:space="preserve">Prenos do tretej krajiny alebo medzinárodnej organizácie sa neuskutočňuje. </w:t>
      </w:r>
      <w:r w:rsidRPr="00B309F0">
        <w:rPr>
          <w:rFonts w:eastAsia="Calibri"/>
        </w:rPr>
        <w:t>Osobné údaje nebudú použité na automatizované individuálne rozhodovanie vrátane profilovania.</w:t>
      </w:r>
    </w:p>
    <w:p w:rsidR="00B309F0" w:rsidRPr="00B309F0" w:rsidRDefault="00B309F0" w:rsidP="00B309F0">
      <w:pPr>
        <w:shd w:val="clear" w:color="auto" w:fill="FFFFFF"/>
        <w:jc w:val="both"/>
        <w:rPr>
          <w:rFonts w:eastAsia="Calibri"/>
          <w:color w:val="000000"/>
        </w:rPr>
      </w:pPr>
    </w:p>
    <w:p w:rsidR="00B309F0" w:rsidRPr="00B309F0" w:rsidRDefault="00B309F0" w:rsidP="00B309F0">
      <w:pPr>
        <w:autoSpaceDE w:val="0"/>
        <w:autoSpaceDN w:val="0"/>
        <w:jc w:val="both"/>
        <w:rPr>
          <w:rFonts w:eastAsia="Calibri"/>
          <w:b/>
          <w:color w:val="000000"/>
        </w:rPr>
      </w:pPr>
      <w:r w:rsidRPr="00B309F0">
        <w:rPr>
          <w:rFonts w:eastAsia="Calibri"/>
          <w:b/>
          <w:color w:val="000000"/>
        </w:rPr>
        <w:t>Doba uchovávania osobných údajov:</w:t>
      </w:r>
    </w:p>
    <w:p w:rsidR="00B309F0" w:rsidRPr="00B309F0" w:rsidRDefault="00B309F0" w:rsidP="00B309F0">
      <w:pPr>
        <w:autoSpaceDE w:val="0"/>
        <w:autoSpaceDN w:val="0"/>
        <w:jc w:val="both"/>
        <w:rPr>
          <w:rFonts w:eastAsia="Calibri"/>
          <w:color w:val="000000"/>
        </w:rPr>
      </w:pPr>
      <w:r w:rsidRPr="00B309F0">
        <w:rPr>
          <w:rFonts w:eastAsia="Calibri"/>
          <w:color w:val="000000"/>
        </w:rPr>
        <w:t xml:space="preserve">Prevádzkovateľ je oprávnený uchovávať osobné údaje dotknutej osoby do doby, pokiaľ trvá účel spracúvania osobných údajov určený ÚNMS SR ako prevádzkovateľom vzhľadom na zásadu minimalizácie uchovávania. Na uchovávanie niektorých osobných údajov sa vzťahuje zákon č. 395/2002 Z. z. o archívoch a registratúrach a o doplnení niektorých zákonov v znení neskorších predpisov v spojení s Registratúrnym poriadkom a plánom úradu, ktorý schvaľuje Ministerstvo vnútra Slovenskej republiky. Dokumentácia súvisiaca s plnením povinností prevádzkovateľa podľa zákona č. 56/2018 Z. z. je uchovávaná 5 rokov nasledujúcich po roku, v ktorom bola dokumentácia uzatvorená. </w:t>
      </w:r>
      <w:r w:rsidRPr="00B309F0">
        <w:rPr>
          <w:rFonts w:eastAsia="Calibri"/>
          <w:i/>
          <w:color w:val="000000"/>
        </w:rPr>
        <w:t xml:space="preserve">Osobné údaje sa nezverejňujú. </w:t>
      </w:r>
    </w:p>
    <w:p w:rsidR="00B309F0" w:rsidRPr="00B309F0" w:rsidRDefault="00B309F0" w:rsidP="00B309F0">
      <w:pPr>
        <w:autoSpaceDE w:val="0"/>
        <w:autoSpaceDN w:val="0"/>
        <w:jc w:val="both"/>
        <w:rPr>
          <w:rFonts w:eastAsia="Calibri"/>
          <w:color w:val="000000"/>
        </w:rPr>
      </w:pPr>
    </w:p>
    <w:p w:rsidR="00B309F0" w:rsidRPr="00B309F0" w:rsidRDefault="00B309F0" w:rsidP="00B309F0">
      <w:pPr>
        <w:autoSpaceDE w:val="0"/>
        <w:autoSpaceDN w:val="0"/>
        <w:jc w:val="both"/>
        <w:rPr>
          <w:rFonts w:eastAsia="Calibri"/>
          <w:b/>
          <w:color w:val="000000"/>
        </w:rPr>
      </w:pPr>
      <w:r w:rsidRPr="00B309F0">
        <w:rPr>
          <w:rFonts w:eastAsia="Calibri"/>
          <w:b/>
          <w:color w:val="000000"/>
        </w:rPr>
        <w:t>Príjemcovia osobných údajov:</w:t>
      </w:r>
    </w:p>
    <w:p w:rsidR="00B309F0" w:rsidRPr="00B309F0" w:rsidRDefault="00B309F0" w:rsidP="00B309F0">
      <w:pPr>
        <w:shd w:val="clear" w:color="auto" w:fill="FFFFFF"/>
        <w:jc w:val="both"/>
        <w:rPr>
          <w:rFonts w:eastAsia="Calibri"/>
          <w:color w:val="000000"/>
        </w:rPr>
      </w:pPr>
      <w:r w:rsidRPr="00B309F0">
        <w:rPr>
          <w:rFonts w:eastAsia="Calibri"/>
          <w:color w:val="000000"/>
        </w:rPr>
        <w:t xml:space="preserve">Prevádzkovateľ má zákonnú povinnosť poskytnúť osobné údaje dotknutej osoby kontrolným orgánom pri prípadnej kontrole, dozornej činnosti alebo na žiadosť oprávnených orgánov štátu alebo inštitúcií, ak to vyplýva z osobitných predpisov. </w:t>
      </w:r>
    </w:p>
    <w:p w:rsidR="00B309F0" w:rsidRPr="00B309F0" w:rsidRDefault="00B309F0" w:rsidP="00B309F0">
      <w:pPr>
        <w:shd w:val="clear" w:color="auto" w:fill="FFFFFF"/>
        <w:jc w:val="both"/>
        <w:rPr>
          <w:rFonts w:eastAsia="Calibri"/>
          <w:color w:val="000000"/>
        </w:rPr>
      </w:pPr>
    </w:p>
    <w:p w:rsidR="00B309F0" w:rsidRPr="00B309F0" w:rsidRDefault="00B309F0" w:rsidP="00B309F0">
      <w:pPr>
        <w:spacing w:after="120"/>
        <w:jc w:val="both"/>
        <w:rPr>
          <w:rFonts w:eastAsia="Calibri"/>
          <w:b/>
        </w:rPr>
      </w:pPr>
      <w:r w:rsidRPr="00B309F0">
        <w:rPr>
          <w:rFonts w:eastAsia="Calibri"/>
          <w:b/>
        </w:rPr>
        <w:t>Práva dotknutých osôb:</w:t>
      </w:r>
    </w:p>
    <w:p w:rsidR="00B309F0" w:rsidRPr="00B309F0" w:rsidRDefault="00B309F0" w:rsidP="00B309F0">
      <w:pPr>
        <w:overflowPunct w:val="0"/>
        <w:autoSpaceDE w:val="0"/>
        <w:autoSpaceDN w:val="0"/>
        <w:spacing w:after="120"/>
        <w:jc w:val="both"/>
        <w:textAlignment w:val="baseline"/>
        <w:rPr>
          <w:rFonts w:eastAsia="Calibri"/>
          <w:lang w:eastAsia="sk-SK"/>
        </w:rPr>
      </w:pPr>
      <w:r w:rsidRPr="00B309F0">
        <w:rPr>
          <w:rFonts w:eastAsia="Calibri"/>
          <w:b/>
          <w:bCs/>
          <w:lang w:eastAsia="sk-SK"/>
        </w:rPr>
        <w:t>Právo na prístup</w:t>
      </w:r>
      <w:r w:rsidRPr="00B309F0">
        <w:rPr>
          <w:rFonts w:eastAsia="Calibri"/>
          <w:lang w:eastAsia="sk-SK"/>
        </w:rPr>
        <w:t xml:space="preserve"> – dotknutá osoba má právo na poskytnutie kópie osobných údajov, ktoré má prevádzkovateľ k dispozícii, ako aj na informácie o tom, ako osobné údaje prevádzkovateľ  používa. Vo väčšine prípadov budú osobné údaje dotknutej osobe poskytnuté v písomnej - listinnej forme, pokiaľ dotknutá osoba nepožaduje iný spôsob ich poskytnutia. Ak dotknutá osoba o poskytnutie týchto informácií požiada elektronickými prostriedkami, budú jej poskytnuté elektronicky, ak to bude technicky možné. </w:t>
      </w:r>
    </w:p>
    <w:p w:rsidR="00B309F0" w:rsidRPr="00B309F0" w:rsidRDefault="00B309F0" w:rsidP="00B309F0">
      <w:pPr>
        <w:overflowPunct w:val="0"/>
        <w:autoSpaceDE w:val="0"/>
        <w:autoSpaceDN w:val="0"/>
        <w:spacing w:after="120"/>
        <w:jc w:val="both"/>
        <w:textAlignment w:val="baseline"/>
        <w:rPr>
          <w:rFonts w:eastAsia="Calibri"/>
          <w:lang w:eastAsia="sk-SK"/>
        </w:rPr>
      </w:pPr>
      <w:r w:rsidRPr="00B309F0">
        <w:rPr>
          <w:rFonts w:eastAsia="Calibri"/>
          <w:b/>
          <w:bCs/>
          <w:lang w:eastAsia="sk-SK"/>
        </w:rPr>
        <w:t>Právo na opravu</w:t>
      </w:r>
      <w:r w:rsidRPr="00B309F0">
        <w:rPr>
          <w:rFonts w:eastAsia="Calibri"/>
          <w:lang w:eastAsia="sk-SK"/>
        </w:rPr>
        <w:t xml:space="preserve"> – prevádzkovateľ prijíma primerané opatrenia, aby zabezpečil presnosť, úplnosť a aktuálnosť informácií týkajúcich sa dotknutej osoby. Ak sa dotknutá osoba domnieva, že údaje, ktorými prevádzkovateľ disponuje, sú nepresné, neúplné alebo neaktuálne, prosím, neváhajte prevádzkovateľa požiadať, aby tieto informácie upravil, aktualizoval alebo doplnil. </w:t>
      </w:r>
    </w:p>
    <w:p w:rsidR="00B309F0" w:rsidRPr="00B309F0" w:rsidRDefault="00B309F0" w:rsidP="00B309F0">
      <w:pPr>
        <w:overflowPunct w:val="0"/>
        <w:autoSpaceDE w:val="0"/>
        <w:autoSpaceDN w:val="0"/>
        <w:spacing w:after="120"/>
        <w:jc w:val="both"/>
        <w:textAlignment w:val="baseline"/>
        <w:rPr>
          <w:rFonts w:eastAsia="Calibri"/>
          <w:lang w:eastAsia="sk-SK"/>
        </w:rPr>
      </w:pPr>
      <w:r w:rsidRPr="00B309F0">
        <w:rPr>
          <w:rFonts w:eastAsia="Calibri"/>
          <w:b/>
          <w:bCs/>
          <w:lang w:eastAsia="sk-SK"/>
        </w:rPr>
        <w:t>Právo na vymazanie (právo „na zabudnutie“)</w:t>
      </w:r>
      <w:r w:rsidRPr="00B309F0">
        <w:rPr>
          <w:rFonts w:eastAsia="Calibri"/>
          <w:lang w:eastAsia="sk-SK"/>
        </w:rPr>
        <w:t xml:space="preserve"> – dotknutá osoba má právo prevádzkovateľa požiadať o vymazanie Vašich osobných údajov, napríklad v prípade, ak osobné údaje, ktoré o Vás prevádzkovateľ získal, už viac nie sú potrebné na naplnenie pôvodného účelu spracúvania. Právo dotknutej osoby je však potrebné posúdiť z pohľadu všetkých relevantných okolností. Napríklad, prevádzkovateľ môže mať určité právne a regulačné povinnosti, čo znamená, že prevádzkovateľ nebude môcť Vašej žiadosti vyhovieť. </w:t>
      </w:r>
    </w:p>
    <w:p w:rsidR="00B309F0" w:rsidRPr="00B309F0" w:rsidRDefault="00B309F0" w:rsidP="00B309F0">
      <w:pPr>
        <w:overflowPunct w:val="0"/>
        <w:autoSpaceDE w:val="0"/>
        <w:autoSpaceDN w:val="0"/>
        <w:spacing w:after="120"/>
        <w:jc w:val="both"/>
        <w:textAlignment w:val="baseline"/>
        <w:rPr>
          <w:rFonts w:eastAsia="Calibri"/>
          <w:lang w:eastAsia="sk-SK"/>
        </w:rPr>
      </w:pPr>
      <w:r w:rsidRPr="00B309F0">
        <w:rPr>
          <w:rFonts w:eastAsia="Calibri"/>
          <w:b/>
          <w:bCs/>
          <w:lang w:eastAsia="sk-SK"/>
        </w:rPr>
        <w:t>Právo na obmedzenie spracúvania</w:t>
      </w:r>
      <w:r w:rsidRPr="00B309F0">
        <w:rPr>
          <w:rFonts w:eastAsia="Calibri"/>
          <w:lang w:eastAsia="sk-SK"/>
        </w:rPr>
        <w:t xml:space="preserve"> - za určitých okolností je dotknutá osoba oprávnená požiadať prevádzkovateľa, aby prestal používať Vaše osobné údaje. Ide napríklad o prípady, keď si dotknutá osoba myslí, že osobné údaje, ktoré prevádzkovateľ spracúva, môžu byť nesprávne alebo keď si myslí, že už prevádzkovateľ osobné údaje dotknutej osoby nepotrebuje využívať. </w:t>
      </w:r>
    </w:p>
    <w:p w:rsidR="00B309F0" w:rsidRPr="00B309F0" w:rsidRDefault="00B309F0" w:rsidP="00B309F0">
      <w:pPr>
        <w:overflowPunct w:val="0"/>
        <w:autoSpaceDE w:val="0"/>
        <w:autoSpaceDN w:val="0"/>
        <w:spacing w:after="120"/>
        <w:jc w:val="both"/>
        <w:textAlignment w:val="baseline"/>
        <w:rPr>
          <w:rFonts w:eastAsia="Calibri"/>
          <w:lang w:eastAsia="sk-SK"/>
        </w:rPr>
      </w:pPr>
      <w:r w:rsidRPr="00B309F0">
        <w:rPr>
          <w:rFonts w:eastAsia="Calibri"/>
          <w:b/>
        </w:rPr>
        <w:t xml:space="preserve">Právo namietať </w:t>
      </w:r>
      <w:r w:rsidRPr="00B309F0">
        <w:rPr>
          <w:rFonts w:eastAsia="Calibri"/>
          <w:lang w:eastAsia="sk-SK"/>
        </w:rPr>
        <w:t>–</w:t>
      </w:r>
      <w:r w:rsidRPr="00B309F0">
        <w:rPr>
          <w:rFonts w:eastAsia="Calibri"/>
        </w:rPr>
        <w:t xml:space="preserve"> dotknutá osoba má právo kedykoľvek namietať z dôvodov týkajúcich sa jej konkrétnej situácie proti spracúvaniu osobných údajov, ktoré sa jej týka, Prevádzkovateľ nesmie ďalej spracúvať osobné údaje, pokiaľ nepreukáže nevyhnutné oprávnené dôvody na spracúvanie, ktoré prevažujú nad záujmami, právami a slobodami dotknutej osoby alebo dôvody na preukazovanie, uplatňovanie alebo obhajovanie právnych nárokov.</w:t>
      </w:r>
    </w:p>
    <w:p w:rsidR="00B309F0" w:rsidRPr="00B309F0" w:rsidRDefault="00B309F0" w:rsidP="00B309F0">
      <w:pPr>
        <w:overflowPunct w:val="0"/>
        <w:autoSpaceDE w:val="0"/>
        <w:autoSpaceDN w:val="0"/>
        <w:spacing w:after="120"/>
        <w:jc w:val="both"/>
        <w:textAlignment w:val="baseline"/>
        <w:rPr>
          <w:rFonts w:eastAsia="Calibri"/>
          <w:lang w:eastAsia="sk-SK"/>
        </w:rPr>
      </w:pPr>
      <w:r w:rsidRPr="00B309F0">
        <w:rPr>
          <w:rFonts w:eastAsia="Calibri"/>
          <w:b/>
          <w:bCs/>
          <w:lang w:eastAsia="sk-SK"/>
        </w:rPr>
        <w:t>Právo podať návrh na začatie konania o ochrane osobných údajov</w:t>
      </w:r>
      <w:r w:rsidRPr="00B309F0">
        <w:rPr>
          <w:rFonts w:eastAsia="Calibri"/>
          <w:lang w:eastAsia="sk-SK"/>
        </w:rPr>
        <w:t xml:space="preserve"> - ak sa dotknutá osoba domnieva, že jej osobné údaje spracúva prevádzkovateľ nespravodlivo alebo nezákonne, môže dotknutá osoba podať sťažnosť dozornému orgánu, ktorým je Úrad na ochranu osobných údajov Slovenskej republiky, so sídlom Hraničná 12, 820 07 Bratislava 27; tel. číslo: +421 /2/ 3231 3214; e- mail: </w:t>
      </w:r>
      <w:hyperlink r:id="rId9" w:history="1">
        <w:r w:rsidRPr="00B309F0">
          <w:rPr>
            <w:rFonts w:eastAsia="Calibri"/>
            <w:color w:val="0000FF"/>
            <w:u w:val="single"/>
            <w:lang w:eastAsia="sk-SK"/>
          </w:rPr>
          <w:t>statny.dozor@pdp.gov.sk</w:t>
        </w:r>
      </w:hyperlink>
      <w:r w:rsidRPr="00B309F0">
        <w:rPr>
          <w:rFonts w:eastAsia="Calibri"/>
          <w:lang w:eastAsia="sk-SK"/>
        </w:rPr>
        <w:t xml:space="preserve">, </w:t>
      </w:r>
      <w:hyperlink r:id="rId10" w:history="1">
        <w:r w:rsidRPr="00B309F0">
          <w:rPr>
            <w:rFonts w:eastAsia="Calibri"/>
            <w:color w:val="0000FF"/>
            <w:u w:val="single"/>
            <w:lang w:eastAsia="sk-SK"/>
          </w:rPr>
          <w:t>https://dataprotection.gov.sk</w:t>
        </w:r>
      </w:hyperlink>
      <w:r w:rsidRPr="00B309F0">
        <w:rPr>
          <w:rFonts w:eastAsia="Calibri"/>
          <w:lang w:eastAsia="sk-SK"/>
        </w:rPr>
        <w:t>. V prípade podania návrhu elektronickou formou je potrebné, aby tento spĺňal náležitosti podľa § 19 ods. 1 zákona č. 71/1967 Zb. o správnom konaní (správny poriadok) v znení neskorších predpisov.</w:t>
      </w:r>
    </w:p>
    <w:p w:rsidR="00B309F0" w:rsidRPr="00B309F0" w:rsidRDefault="00B309F0" w:rsidP="00B309F0">
      <w:pPr>
        <w:jc w:val="both"/>
        <w:rPr>
          <w:rFonts w:eastAsia="Calibri"/>
          <w:b/>
        </w:rPr>
      </w:pPr>
    </w:p>
    <w:p w:rsidR="00B309F0" w:rsidRPr="00B309F0" w:rsidRDefault="00B309F0" w:rsidP="00B309F0">
      <w:pPr>
        <w:jc w:val="both"/>
        <w:rPr>
          <w:rFonts w:eastAsia="Calibri"/>
          <w:b/>
        </w:rPr>
      </w:pPr>
      <w:r w:rsidRPr="00B309F0">
        <w:rPr>
          <w:rFonts w:eastAsia="Calibri"/>
          <w:b/>
        </w:rPr>
        <w:t>Kontakt na zodpovednú osobu:</w:t>
      </w:r>
    </w:p>
    <w:p w:rsidR="00B309F0" w:rsidRPr="00B309F0" w:rsidRDefault="00B309F0" w:rsidP="00B309F0">
      <w:pPr>
        <w:jc w:val="both"/>
        <w:rPr>
          <w:rFonts w:eastAsia="Calibri"/>
        </w:rPr>
      </w:pPr>
      <w:r w:rsidRPr="00B309F0">
        <w:rPr>
          <w:rFonts w:eastAsia="Calibri"/>
        </w:rPr>
        <w:t>Zodpovednú osobu môžete kontaktovať:</w:t>
      </w:r>
    </w:p>
    <w:p w:rsidR="00B309F0" w:rsidRPr="00B309F0" w:rsidRDefault="00B309F0" w:rsidP="00B309F0">
      <w:pPr>
        <w:numPr>
          <w:ilvl w:val="0"/>
          <w:numId w:val="4"/>
        </w:numPr>
        <w:contextualSpacing/>
        <w:rPr>
          <w:rFonts w:eastAsia="Calibri"/>
        </w:rPr>
      </w:pPr>
      <w:r w:rsidRPr="00B309F0">
        <w:rPr>
          <w:rFonts w:eastAsia="Calibri"/>
        </w:rPr>
        <w:t xml:space="preserve">písomne na adrese: Úrad pre normalizáciu, metrológiu a skúšobníctvo Slovenskej republiky, Štefanovičova 3, 810 05 Bratislava 15 alebo </w:t>
      </w:r>
    </w:p>
    <w:p w:rsidR="00B309F0" w:rsidRPr="00B309F0" w:rsidRDefault="00B309F0" w:rsidP="00B309F0">
      <w:pPr>
        <w:numPr>
          <w:ilvl w:val="0"/>
          <w:numId w:val="4"/>
        </w:numPr>
        <w:contextualSpacing/>
        <w:rPr>
          <w:rFonts w:ascii="Times New Roman" w:eastAsia="Calibri" w:hAnsi="Times New Roman" w:cs="Times New Roman"/>
          <w:sz w:val="20"/>
          <w:szCs w:val="20"/>
        </w:rPr>
      </w:pPr>
      <w:r w:rsidRPr="00B309F0">
        <w:rPr>
          <w:rFonts w:eastAsia="Calibri"/>
        </w:rPr>
        <w:t>elektronicky na e-mailovej adrese: zodpovednaosoba@normoff.gov.sk</w:t>
      </w:r>
    </w:p>
    <w:p w:rsidR="00B309F0" w:rsidRPr="00B309F0" w:rsidRDefault="00B309F0" w:rsidP="00B309F0">
      <w:pPr>
        <w:jc w:val="both"/>
        <w:rPr>
          <w:rFonts w:eastAsia="Calibri"/>
        </w:rPr>
      </w:pPr>
    </w:p>
    <w:p w:rsidR="00B309F0" w:rsidRPr="00B309F0" w:rsidRDefault="00B309F0" w:rsidP="00B309F0">
      <w:pPr>
        <w:jc w:val="both"/>
        <w:rPr>
          <w:rFonts w:eastAsia="Calibri"/>
        </w:rPr>
      </w:pPr>
      <w:r w:rsidRPr="00B309F0">
        <w:rPr>
          <w:rFonts w:eastAsia="Calibri"/>
        </w:rPr>
        <w:t xml:space="preserve">Ďalšie informácie o spracúvaní osobných údajov nájdete na nasledovnom odkaze </w:t>
      </w:r>
      <w:hyperlink r:id="rId11" w:history="1">
        <w:r w:rsidRPr="00B309F0">
          <w:rPr>
            <w:rFonts w:eastAsia="Calibri"/>
            <w:color w:val="0000FF"/>
            <w:u w:val="single"/>
            <w:lang w:val="fr-FR"/>
          </w:rPr>
          <w:t>https://www.unms.sk/stranka/331/ochrana-osobnych-udajov/</w:t>
        </w:r>
      </w:hyperlink>
      <w:r w:rsidRPr="00B309F0">
        <w:rPr>
          <w:rFonts w:eastAsia="Calibri"/>
        </w:rPr>
        <w:t xml:space="preserve"> </w:t>
      </w:r>
    </w:p>
    <w:p w:rsidR="00B309F0" w:rsidRPr="00B309F0" w:rsidRDefault="00B309F0" w:rsidP="00B309F0">
      <w:pPr>
        <w:jc w:val="both"/>
        <w:rPr>
          <w:rFonts w:eastAsia="Calibri"/>
        </w:rPr>
      </w:pPr>
    </w:p>
    <w:p w:rsidR="00B309F0" w:rsidRPr="00B309F0" w:rsidRDefault="00B309F0" w:rsidP="00B309F0">
      <w:pPr>
        <w:widowControl w:val="0"/>
        <w:overflowPunct w:val="0"/>
        <w:autoSpaceDE w:val="0"/>
        <w:autoSpaceDN w:val="0"/>
        <w:adjustRightInd w:val="0"/>
        <w:spacing w:after="120"/>
        <w:jc w:val="both"/>
        <w:textAlignment w:val="baseline"/>
        <w:rPr>
          <w:rFonts w:eastAsia="Times New Roman"/>
          <w:b/>
          <w:lang w:eastAsia="sk-SK"/>
        </w:rPr>
      </w:pPr>
    </w:p>
    <w:tbl>
      <w:tblPr>
        <w:tblW w:w="0" w:type="auto"/>
        <w:tblInd w:w="108" w:type="dxa"/>
        <w:tblLook w:val="04A0" w:firstRow="1" w:lastRow="0" w:firstColumn="1" w:lastColumn="0" w:noHBand="0" w:noVBand="1"/>
      </w:tblPr>
      <w:tblGrid>
        <w:gridCol w:w="4745"/>
        <w:gridCol w:w="4785"/>
      </w:tblGrid>
      <w:tr w:rsidR="00B309F0" w:rsidRPr="00B309F0" w:rsidTr="001D38DA">
        <w:trPr>
          <w:trHeight w:val="680"/>
        </w:trPr>
        <w:tc>
          <w:tcPr>
            <w:tcW w:w="4819" w:type="dxa"/>
            <w:shd w:val="clear" w:color="auto" w:fill="auto"/>
            <w:vAlign w:val="bottom"/>
          </w:tcPr>
          <w:p w:rsidR="00B309F0" w:rsidRPr="00B309F0" w:rsidRDefault="00B309F0" w:rsidP="00B309F0">
            <w:pPr>
              <w:widowControl w:val="0"/>
              <w:overflowPunct w:val="0"/>
              <w:autoSpaceDE w:val="0"/>
              <w:autoSpaceDN w:val="0"/>
              <w:adjustRightInd w:val="0"/>
              <w:spacing w:after="120"/>
              <w:jc w:val="center"/>
              <w:textAlignment w:val="baseline"/>
              <w:rPr>
                <w:rFonts w:eastAsia="Times New Roman"/>
                <w:b/>
                <w:lang w:eastAsia="sk-SK"/>
              </w:rPr>
            </w:pPr>
          </w:p>
        </w:tc>
        <w:tc>
          <w:tcPr>
            <w:tcW w:w="4820" w:type="dxa"/>
            <w:shd w:val="clear" w:color="auto" w:fill="auto"/>
            <w:vAlign w:val="bottom"/>
          </w:tcPr>
          <w:p w:rsidR="00B309F0" w:rsidRPr="00B309F0" w:rsidRDefault="00B309F0" w:rsidP="00B309F0">
            <w:pPr>
              <w:widowControl w:val="0"/>
              <w:overflowPunct w:val="0"/>
              <w:autoSpaceDE w:val="0"/>
              <w:autoSpaceDN w:val="0"/>
              <w:adjustRightInd w:val="0"/>
              <w:spacing w:after="120"/>
              <w:jc w:val="center"/>
              <w:textAlignment w:val="baseline"/>
              <w:rPr>
                <w:rFonts w:eastAsia="Times New Roman"/>
                <w:b/>
                <w:lang w:eastAsia="sk-SK"/>
              </w:rPr>
            </w:pPr>
            <w:r w:rsidRPr="00B309F0">
              <w:rPr>
                <w:rFonts w:eastAsia="Times New Roman"/>
                <w:b/>
                <w:lang w:eastAsia="sk-SK"/>
              </w:rPr>
              <w:t>____________________________</w:t>
            </w:r>
          </w:p>
        </w:tc>
      </w:tr>
      <w:tr w:rsidR="00B309F0" w:rsidRPr="00B309F0" w:rsidTr="001D38DA">
        <w:trPr>
          <w:trHeight w:val="680"/>
        </w:trPr>
        <w:tc>
          <w:tcPr>
            <w:tcW w:w="4819" w:type="dxa"/>
            <w:shd w:val="clear" w:color="auto" w:fill="auto"/>
          </w:tcPr>
          <w:p w:rsidR="00B309F0" w:rsidRPr="00B309F0" w:rsidRDefault="00B309F0" w:rsidP="00B309F0">
            <w:pPr>
              <w:widowControl w:val="0"/>
              <w:overflowPunct w:val="0"/>
              <w:autoSpaceDE w:val="0"/>
              <w:autoSpaceDN w:val="0"/>
              <w:adjustRightInd w:val="0"/>
              <w:spacing w:after="120"/>
              <w:jc w:val="center"/>
              <w:textAlignment w:val="baseline"/>
              <w:rPr>
                <w:rFonts w:eastAsia="Times New Roman"/>
                <w:b/>
                <w:lang w:eastAsia="sk-SK"/>
              </w:rPr>
            </w:pPr>
            <w:r w:rsidRPr="00B309F0">
              <w:rPr>
                <w:rFonts w:eastAsia="Times New Roman"/>
                <w:lang w:eastAsia="sk-SK"/>
              </w:rPr>
              <w:t>V .................................. dňa ............................</w:t>
            </w:r>
          </w:p>
        </w:tc>
        <w:tc>
          <w:tcPr>
            <w:tcW w:w="4820" w:type="dxa"/>
            <w:shd w:val="clear" w:color="auto" w:fill="auto"/>
            <w:vAlign w:val="bottom"/>
          </w:tcPr>
          <w:p w:rsidR="00B309F0" w:rsidRPr="00B309F0" w:rsidRDefault="00B309F0" w:rsidP="00B309F0">
            <w:pPr>
              <w:widowControl w:val="0"/>
              <w:overflowPunct w:val="0"/>
              <w:autoSpaceDE w:val="0"/>
              <w:autoSpaceDN w:val="0"/>
              <w:adjustRightInd w:val="0"/>
              <w:spacing w:after="120"/>
              <w:jc w:val="center"/>
              <w:textAlignment w:val="baseline"/>
              <w:rPr>
                <w:rFonts w:eastAsia="Times New Roman"/>
                <w:i/>
                <w:lang w:eastAsia="sk-SK"/>
              </w:rPr>
            </w:pPr>
            <w:r w:rsidRPr="00B309F0">
              <w:rPr>
                <w:rFonts w:eastAsia="Times New Roman"/>
                <w:i/>
                <w:lang w:eastAsia="sk-SK"/>
              </w:rPr>
              <w:t>(meno, priezvisko, podpis, funkcia)</w:t>
            </w:r>
          </w:p>
          <w:p w:rsidR="00B309F0" w:rsidRPr="00B309F0" w:rsidRDefault="00B309F0" w:rsidP="00B309F0">
            <w:pPr>
              <w:widowControl w:val="0"/>
              <w:overflowPunct w:val="0"/>
              <w:autoSpaceDE w:val="0"/>
              <w:autoSpaceDN w:val="0"/>
              <w:adjustRightInd w:val="0"/>
              <w:spacing w:after="120"/>
              <w:jc w:val="center"/>
              <w:textAlignment w:val="baseline"/>
              <w:rPr>
                <w:rFonts w:eastAsia="Times New Roman"/>
                <w:lang w:eastAsia="sk-SK"/>
              </w:rPr>
            </w:pPr>
            <w:r w:rsidRPr="00B309F0">
              <w:rPr>
                <w:rFonts w:eastAsia="Times New Roman"/>
                <w:lang w:eastAsia="sk-SK"/>
              </w:rPr>
              <w:t>Žiadateľ</w:t>
            </w:r>
          </w:p>
          <w:p w:rsidR="00B309F0" w:rsidRPr="00B309F0" w:rsidRDefault="00B309F0" w:rsidP="00B309F0">
            <w:pPr>
              <w:widowControl w:val="0"/>
              <w:overflowPunct w:val="0"/>
              <w:autoSpaceDE w:val="0"/>
              <w:autoSpaceDN w:val="0"/>
              <w:adjustRightInd w:val="0"/>
              <w:spacing w:after="120"/>
              <w:jc w:val="center"/>
              <w:textAlignment w:val="baseline"/>
              <w:rPr>
                <w:rFonts w:eastAsia="Times New Roman"/>
                <w:b/>
                <w:lang w:eastAsia="sk-SK"/>
              </w:rPr>
            </w:pPr>
          </w:p>
        </w:tc>
      </w:tr>
    </w:tbl>
    <w:p w:rsidR="00B309F0" w:rsidRPr="00B309F0" w:rsidRDefault="00B309F0" w:rsidP="00B309F0">
      <w:pPr>
        <w:widowControl w:val="0"/>
        <w:overflowPunct w:val="0"/>
        <w:autoSpaceDE w:val="0"/>
        <w:autoSpaceDN w:val="0"/>
        <w:adjustRightInd w:val="0"/>
        <w:spacing w:after="120"/>
        <w:jc w:val="both"/>
        <w:textAlignment w:val="baseline"/>
        <w:rPr>
          <w:rFonts w:eastAsia="Times New Roman"/>
          <w:b/>
          <w:lang w:eastAsia="sk-SK"/>
        </w:rPr>
        <w:sectPr w:rsidR="00B309F0" w:rsidRPr="00B309F0" w:rsidSect="00D90AF2">
          <w:footerReference w:type="default" r:id="rId12"/>
          <w:headerReference w:type="first" r:id="rId13"/>
          <w:footerReference w:type="first" r:id="rId14"/>
          <w:pgSz w:w="11906" w:h="16838" w:code="9"/>
          <w:pgMar w:top="634" w:right="1134" w:bottom="1134" w:left="1134" w:header="567" w:footer="422" w:gutter="0"/>
          <w:cols w:space="708"/>
          <w:titlePg/>
          <w:docGrid w:linePitch="272"/>
        </w:sectPr>
      </w:pPr>
    </w:p>
    <w:p w:rsidR="00300D8C" w:rsidRDefault="00300D8C" w:rsidP="00B309F0">
      <w:bookmarkStart w:id="0" w:name="_GoBack"/>
      <w:bookmarkEnd w:id="0"/>
    </w:p>
    <w:sectPr w:rsidR="00300D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9F0" w:rsidRDefault="00B309F0" w:rsidP="00B309F0">
      <w:r>
        <w:separator/>
      </w:r>
    </w:p>
  </w:endnote>
  <w:endnote w:type="continuationSeparator" w:id="0">
    <w:p w:rsidR="00B309F0" w:rsidRDefault="00B309F0" w:rsidP="00B3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6C" w:rsidRDefault="00DB7EE1" w:rsidP="00AC6EC2">
    <w:pPr>
      <w:pStyle w:val="Pta"/>
      <w:rPr>
        <w:sz w:val="16"/>
      </w:rPr>
    </w:pPr>
  </w:p>
  <w:p w:rsidR="00B309F0" w:rsidRPr="006E7545" w:rsidRDefault="00B309F0" w:rsidP="00B309F0">
    <w:pPr>
      <w:pStyle w:val="Pta"/>
      <w:jc w:val="center"/>
      <w:rPr>
        <w:rFonts w:ascii="Arial" w:hAnsi="Arial" w:cs="Arial"/>
      </w:rPr>
    </w:pPr>
    <w:r>
      <w:rPr>
        <w:rFonts w:ascii="Arial" w:hAnsi="Arial" w:cs="Arial"/>
        <w:sz w:val="16"/>
      </w:rPr>
      <w:tab/>
    </w:r>
    <w:sdt>
      <w:sdtPr>
        <w:id w:val="1149639682"/>
        <w:docPartObj>
          <w:docPartGallery w:val="Page Numbers (Bottom of Page)"/>
          <w:docPartUnique/>
        </w:docPartObj>
      </w:sdtPr>
      <w:sdtEndPr>
        <w:rPr>
          <w:rFonts w:ascii="Arial" w:hAnsi="Arial" w:cs="Arial"/>
          <w:sz w:val="18"/>
        </w:rPr>
      </w:sdtEndPr>
      <w:sdtContent>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rPr>
          <w:t>P01_IRA_14</w:t>
        </w:r>
        <w:r w:rsidRPr="00D90AF2">
          <w:rPr>
            <w:rFonts w:ascii="Arial" w:hAnsi="Arial" w:cs="Arial"/>
          </w:rPr>
          <w:t>/2022_MEPO_ÚZ00</w:t>
        </w:r>
        <w:r w:rsidRPr="006E7545">
          <w:rPr>
            <w:rFonts w:ascii="Arial" w:hAnsi="Arial" w:cs="Arial"/>
            <w:sz w:val="18"/>
          </w:rPr>
          <w:br/>
        </w:r>
        <w:r w:rsidRPr="006E7545">
          <w:rPr>
            <w:rFonts w:ascii="Arial" w:hAnsi="Arial" w:cs="Arial"/>
          </w:rPr>
          <w:br/>
        </w:r>
        <w:r w:rsidRPr="006E7545">
          <w:rPr>
            <w:rFonts w:ascii="Arial" w:hAnsi="Arial" w:cs="Arial"/>
            <w:sz w:val="18"/>
          </w:rPr>
          <w:fldChar w:fldCharType="begin"/>
        </w:r>
        <w:r w:rsidRPr="006E7545">
          <w:rPr>
            <w:rFonts w:ascii="Arial" w:hAnsi="Arial" w:cs="Arial"/>
            <w:sz w:val="18"/>
          </w:rPr>
          <w:instrText>PAGE   \* MERGEFORMAT</w:instrText>
        </w:r>
        <w:r w:rsidRPr="006E7545">
          <w:rPr>
            <w:rFonts w:ascii="Arial" w:hAnsi="Arial" w:cs="Arial"/>
            <w:sz w:val="18"/>
          </w:rPr>
          <w:fldChar w:fldCharType="separate"/>
        </w:r>
        <w:r w:rsidR="00DB7EE1">
          <w:rPr>
            <w:rFonts w:ascii="Arial" w:hAnsi="Arial" w:cs="Arial"/>
            <w:noProof/>
            <w:sz w:val="18"/>
          </w:rPr>
          <w:t>6</w:t>
        </w:r>
        <w:r w:rsidRPr="006E7545">
          <w:rPr>
            <w:rFonts w:ascii="Arial" w:hAnsi="Arial" w:cs="Arial"/>
            <w:sz w:val="18"/>
          </w:rPr>
          <w:fldChar w:fldCharType="end"/>
        </w:r>
      </w:sdtContent>
    </w:sdt>
  </w:p>
  <w:p w:rsidR="00B309F0" w:rsidRDefault="00B309F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6C" w:rsidRDefault="00DB7EE1" w:rsidP="00D71CD5">
    <w:pPr>
      <w:pStyle w:val="Pta"/>
    </w:pPr>
    <w:r>
      <w:rPr>
        <w:sz w:val="16"/>
      </w:rPr>
      <w:tab/>
    </w:r>
    <w:r>
      <w:rPr>
        <w:sz w:val="16"/>
      </w:rPr>
      <w:tab/>
    </w:r>
  </w:p>
  <w:sdt>
    <w:sdtPr>
      <w:id w:val="-1806612047"/>
      <w:docPartObj>
        <w:docPartGallery w:val="Page Numbers (Bottom of Page)"/>
        <w:docPartUnique/>
      </w:docPartObj>
    </w:sdtPr>
    <w:sdtEndPr>
      <w:rPr>
        <w:rFonts w:ascii="Arial" w:hAnsi="Arial" w:cs="Arial"/>
        <w:sz w:val="18"/>
      </w:rPr>
    </w:sdtEndPr>
    <w:sdtContent>
      <w:p w:rsidR="003E116C" w:rsidRPr="006E7545" w:rsidRDefault="00DB7EE1" w:rsidP="00D90AF2">
        <w:pPr>
          <w:pStyle w:val="Pta"/>
          <w:jc w:val="center"/>
          <w:rPr>
            <w:rFonts w:ascii="Arial" w:hAnsi="Arial" w:cs="Arial"/>
          </w:rPr>
        </w:pPr>
        <w:r>
          <w:rPr>
            <w:rFonts w:ascii="Arial" w:hAnsi="Arial" w:cs="Arial"/>
            <w:sz w:val="16"/>
          </w:rPr>
          <w:tab/>
        </w:r>
        <w:r w:rsidR="00B309F0">
          <w:rPr>
            <w:rFonts w:ascii="Arial" w:hAnsi="Arial" w:cs="Arial"/>
            <w:sz w:val="16"/>
          </w:rPr>
          <w:tab/>
        </w:r>
        <w:r>
          <w:rPr>
            <w:rFonts w:ascii="Arial" w:hAnsi="Arial" w:cs="Arial"/>
          </w:rPr>
          <w:t>P01_IRA_14</w:t>
        </w:r>
        <w:r w:rsidRPr="00D90AF2">
          <w:rPr>
            <w:rFonts w:ascii="Arial" w:hAnsi="Arial" w:cs="Arial"/>
          </w:rPr>
          <w:t>/2022_MEPO_ÚZ00</w:t>
        </w:r>
        <w:r w:rsidRPr="006E7545">
          <w:rPr>
            <w:rFonts w:ascii="Arial" w:hAnsi="Arial" w:cs="Arial"/>
            <w:sz w:val="18"/>
          </w:rPr>
          <w:br/>
        </w:r>
        <w:r w:rsidRPr="006E7545">
          <w:rPr>
            <w:rFonts w:ascii="Arial" w:hAnsi="Arial" w:cs="Arial"/>
          </w:rPr>
          <w:br/>
        </w:r>
        <w:r w:rsidRPr="006E7545">
          <w:rPr>
            <w:rFonts w:ascii="Arial" w:hAnsi="Arial" w:cs="Arial"/>
            <w:sz w:val="18"/>
          </w:rPr>
          <w:fldChar w:fldCharType="begin"/>
        </w:r>
        <w:r w:rsidRPr="006E7545">
          <w:rPr>
            <w:rFonts w:ascii="Arial" w:hAnsi="Arial" w:cs="Arial"/>
            <w:sz w:val="18"/>
          </w:rPr>
          <w:instrText>PAGE   \* MERGEFORMAT</w:instrText>
        </w:r>
        <w:r w:rsidRPr="006E7545">
          <w:rPr>
            <w:rFonts w:ascii="Arial" w:hAnsi="Arial" w:cs="Arial"/>
            <w:sz w:val="18"/>
          </w:rPr>
          <w:fldChar w:fldCharType="separate"/>
        </w:r>
        <w:r>
          <w:rPr>
            <w:rFonts w:ascii="Arial" w:hAnsi="Arial" w:cs="Arial"/>
            <w:noProof/>
            <w:sz w:val="18"/>
          </w:rPr>
          <w:t>1</w:t>
        </w:r>
        <w:r w:rsidRPr="006E7545">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9F0" w:rsidRDefault="00B309F0" w:rsidP="00B309F0">
      <w:r>
        <w:separator/>
      </w:r>
    </w:p>
  </w:footnote>
  <w:footnote w:type="continuationSeparator" w:id="0">
    <w:p w:rsidR="00B309F0" w:rsidRDefault="00B309F0" w:rsidP="00B30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6C" w:rsidRDefault="00DB7EE1" w:rsidP="00DC1A4A">
    <w:pPr>
      <w:pStyle w:val="Hlavika"/>
    </w:pPr>
    <w:r>
      <w:tab/>
    </w:r>
    <w:r>
      <w:tab/>
    </w:r>
    <w:r>
      <w:tab/>
    </w:r>
  </w:p>
  <w:p w:rsidR="003E116C" w:rsidRPr="00DC1A4A" w:rsidRDefault="00DB7EE1" w:rsidP="00DC1A4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428B"/>
    <w:multiLevelType w:val="hybridMultilevel"/>
    <w:tmpl w:val="233CF85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D23342D"/>
    <w:multiLevelType w:val="hybridMultilevel"/>
    <w:tmpl w:val="21DE8A4E"/>
    <w:lvl w:ilvl="0" w:tplc="4C0844DC">
      <w:numFmt w:val="bullet"/>
      <w:lvlText w:val="-"/>
      <w:lvlJc w:val="left"/>
      <w:pPr>
        <w:ind w:left="1080" w:hanging="360"/>
      </w:pPr>
      <w:rPr>
        <w:rFonts w:ascii="Arial" w:eastAsia="Calibr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305F5BD5"/>
    <w:multiLevelType w:val="hybridMultilevel"/>
    <w:tmpl w:val="091E434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04B4213"/>
    <w:multiLevelType w:val="hybridMultilevel"/>
    <w:tmpl w:val="A7CCC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9F0"/>
    <w:rsid w:val="00300D8C"/>
    <w:rsid w:val="00511DDF"/>
    <w:rsid w:val="00B309F0"/>
    <w:rsid w:val="00DB7E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DBB1E"/>
  <w15:chartTrackingRefBased/>
  <w15:docId w15:val="{B03C6518-D698-4F2F-817E-3B479FDF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Záhlavie normy"/>
    <w:basedOn w:val="Normlny"/>
    <w:link w:val="HlavikaChar"/>
    <w:uiPriority w:val="99"/>
    <w:rsid w:val="00B309F0"/>
    <w:pPr>
      <w:tabs>
        <w:tab w:val="center" w:pos="4536"/>
        <w:tab w:val="right" w:pos="9072"/>
      </w:tabs>
    </w:pPr>
    <w:rPr>
      <w:rFonts w:eastAsia="Times New Roman" w:cs="Times New Roman"/>
      <w:sz w:val="20"/>
      <w:szCs w:val="20"/>
      <w:lang w:eastAsia="cs-CZ"/>
    </w:rPr>
  </w:style>
  <w:style w:type="character" w:customStyle="1" w:styleId="HlavikaChar">
    <w:name w:val="Hlavička Char"/>
    <w:aliases w:val="Záhlavie normy Char"/>
    <w:basedOn w:val="Predvolenpsmoodseku"/>
    <w:link w:val="Hlavika"/>
    <w:uiPriority w:val="99"/>
    <w:rsid w:val="00B309F0"/>
    <w:rPr>
      <w:rFonts w:eastAsia="Times New Roman" w:cs="Times New Roman"/>
      <w:sz w:val="20"/>
      <w:szCs w:val="20"/>
      <w:lang w:eastAsia="cs-CZ"/>
    </w:rPr>
  </w:style>
  <w:style w:type="paragraph" w:styleId="Pta">
    <w:name w:val="footer"/>
    <w:basedOn w:val="Normlny"/>
    <w:link w:val="PtaChar"/>
    <w:uiPriority w:val="99"/>
    <w:rsid w:val="00B309F0"/>
    <w:pPr>
      <w:tabs>
        <w:tab w:val="center" w:pos="4536"/>
        <w:tab w:val="right" w:pos="9072"/>
      </w:tabs>
    </w:pPr>
    <w:rPr>
      <w:rFonts w:ascii="Times New Roman" w:eastAsia="Times New Roman" w:hAnsi="Times New Roman" w:cs="Times New Roman"/>
      <w:sz w:val="20"/>
      <w:szCs w:val="20"/>
      <w:lang w:eastAsia="cs-CZ"/>
    </w:rPr>
  </w:style>
  <w:style w:type="character" w:customStyle="1" w:styleId="PtaChar">
    <w:name w:val="Päta Char"/>
    <w:basedOn w:val="Predvolenpsmoodseku"/>
    <w:link w:val="Pta"/>
    <w:uiPriority w:val="99"/>
    <w:rsid w:val="00B309F0"/>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ms.sk/stranka/331/ochrana-osobnych-udaj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ataprotection.gov.sk" TargetMode="External"/><Relationship Id="rId4" Type="http://schemas.openxmlformats.org/officeDocument/2006/relationships/settings" Target="settings.xml"/><Relationship Id="rId9" Type="http://schemas.openxmlformats.org/officeDocument/2006/relationships/hyperlink" Target="mailto:statny.dozor@pdp.gov.sk"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243BC-14DC-4C60-9B3C-5408E4FD7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1793</Words>
  <Characters>10221</Characters>
  <Application>Microsoft Office Word</Application>
  <DocSecurity>0</DocSecurity>
  <Lines>85</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Hrušková Veronika</dc:creator>
  <cp:keywords/>
  <dc:description/>
  <cp:lastModifiedBy>Hrušková Veronika</cp:lastModifiedBy>
  <cp:revision>2</cp:revision>
  <dcterms:created xsi:type="dcterms:W3CDTF">2022-09-14T11:17:00Z</dcterms:created>
  <dcterms:modified xsi:type="dcterms:W3CDTF">2022-09-14T11:17:00Z</dcterms:modified>
</cp:coreProperties>
</file>